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E616E" w14:textId="59B884C1" w:rsidR="00607D81" w:rsidRPr="00831465" w:rsidRDefault="00C2688A" w:rsidP="00066F5D">
      <w:pPr>
        <w:tabs>
          <w:tab w:val="left" w:pos="3151"/>
          <w:tab w:val="left" w:pos="6968"/>
        </w:tabs>
        <w:spacing w:before="254" w:line="264" w:lineRule="auto"/>
        <w:jc w:val="center"/>
        <w:rPr>
          <w:rFonts w:ascii="Arial" w:hAnsi="Arial" w:cs="Arial"/>
          <w:b/>
          <w:color w:val="030303"/>
          <w:w w:val="105"/>
          <w:sz w:val="28"/>
          <w:szCs w:val="28"/>
        </w:rPr>
      </w:pPr>
      <w:r w:rsidRPr="00831465">
        <w:rPr>
          <w:rFonts w:ascii="Arial" w:hAnsi="Arial" w:cs="Arial"/>
          <w:b/>
          <w:color w:val="030303"/>
          <w:w w:val="105"/>
          <w:sz w:val="28"/>
          <w:szCs w:val="28"/>
        </w:rPr>
        <w:t>DEFINING EVAPORITE DEPOSITS WITH ELECTRICAL WELL LOGS</w:t>
      </w:r>
    </w:p>
    <w:p w14:paraId="17E04FC6" w14:textId="0E597F85" w:rsidR="004D29FE" w:rsidRPr="00E37F1D" w:rsidRDefault="00C2688A" w:rsidP="00C2688A">
      <w:pPr>
        <w:pStyle w:val="BodyText"/>
        <w:tabs>
          <w:tab w:val="left" w:pos="2970"/>
        </w:tabs>
        <w:jc w:val="center"/>
        <w:rPr>
          <w:rFonts w:ascii="Arial" w:hAnsi="Arial" w:cs="Arial"/>
          <w:sz w:val="24"/>
          <w:szCs w:val="24"/>
        </w:rPr>
      </w:pPr>
      <w:r w:rsidRPr="00E37F1D">
        <w:rPr>
          <w:rFonts w:ascii="Arial" w:hAnsi="Arial" w:cs="Arial"/>
          <w:sz w:val="24"/>
          <w:szCs w:val="24"/>
        </w:rPr>
        <w:t>R.P. Alger</w:t>
      </w:r>
      <w:r w:rsidR="00B1216C" w:rsidRPr="00E37F1D">
        <w:rPr>
          <w:rFonts w:ascii="Arial" w:hAnsi="Arial" w:cs="Arial"/>
          <w:sz w:val="24"/>
          <w:szCs w:val="24"/>
        </w:rPr>
        <w:t>,</w:t>
      </w:r>
      <w:r w:rsidRPr="00E37F1D">
        <w:rPr>
          <w:rFonts w:ascii="Arial" w:hAnsi="Arial" w:cs="Arial"/>
          <w:sz w:val="24"/>
          <w:szCs w:val="24"/>
        </w:rPr>
        <w:t xml:space="preserve"> Houston, Texas</w:t>
      </w:r>
    </w:p>
    <w:p w14:paraId="40686AEC" w14:textId="0E91E70C" w:rsidR="00C2688A" w:rsidRPr="00E37F1D" w:rsidRDefault="00C2688A" w:rsidP="00C2688A">
      <w:pPr>
        <w:pStyle w:val="BodyText"/>
        <w:tabs>
          <w:tab w:val="left" w:pos="2970"/>
        </w:tabs>
        <w:jc w:val="center"/>
        <w:rPr>
          <w:rFonts w:ascii="Arial" w:hAnsi="Arial" w:cs="Arial"/>
          <w:sz w:val="24"/>
          <w:szCs w:val="24"/>
        </w:rPr>
      </w:pPr>
      <w:r w:rsidRPr="00E37F1D">
        <w:rPr>
          <w:rFonts w:ascii="Arial" w:hAnsi="Arial" w:cs="Arial"/>
          <w:sz w:val="24"/>
          <w:szCs w:val="24"/>
        </w:rPr>
        <w:t>E.R. Crain</w:t>
      </w:r>
      <w:r w:rsidR="00B1216C" w:rsidRPr="00E37F1D">
        <w:rPr>
          <w:rFonts w:ascii="Arial" w:hAnsi="Arial" w:cs="Arial"/>
          <w:sz w:val="24"/>
          <w:szCs w:val="24"/>
        </w:rPr>
        <w:t>,</w:t>
      </w:r>
      <w:r w:rsidRPr="00E37F1D">
        <w:rPr>
          <w:rFonts w:ascii="Arial" w:hAnsi="Arial" w:cs="Arial"/>
          <w:sz w:val="24"/>
          <w:szCs w:val="24"/>
        </w:rPr>
        <w:t xml:space="preserve"> Calgary, Alberta</w:t>
      </w:r>
    </w:p>
    <w:p w14:paraId="14DD8FDC" w14:textId="470F9CB2" w:rsidR="00C2688A" w:rsidRPr="00E37F1D" w:rsidRDefault="00C2688A" w:rsidP="00C2688A">
      <w:pPr>
        <w:pStyle w:val="BodyText"/>
        <w:tabs>
          <w:tab w:val="left" w:pos="2970"/>
        </w:tabs>
        <w:jc w:val="center"/>
        <w:rPr>
          <w:rFonts w:ascii="Arial" w:hAnsi="Arial" w:cs="Arial"/>
          <w:sz w:val="24"/>
          <w:szCs w:val="24"/>
        </w:rPr>
      </w:pPr>
      <w:r w:rsidRPr="00E37F1D">
        <w:rPr>
          <w:rFonts w:ascii="Arial" w:hAnsi="Arial" w:cs="Arial"/>
          <w:sz w:val="24"/>
          <w:szCs w:val="24"/>
        </w:rPr>
        <w:t>Schlumberger Well Surveying Corp.</w:t>
      </w:r>
    </w:p>
    <w:p w14:paraId="009B6810" w14:textId="74041EC1" w:rsidR="004D29FE" w:rsidRPr="00E37F1D" w:rsidRDefault="00B1216C" w:rsidP="00066F5D">
      <w:pPr>
        <w:pStyle w:val="BodyText"/>
        <w:jc w:val="center"/>
        <w:rPr>
          <w:rFonts w:ascii="Arial" w:hAnsi="Arial" w:cs="Arial"/>
          <w:i/>
          <w:sz w:val="24"/>
          <w:szCs w:val="24"/>
        </w:rPr>
      </w:pPr>
      <w:r w:rsidRPr="00E37F1D">
        <w:rPr>
          <w:rFonts w:ascii="Arial" w:hAnsi="Arial" w:cs="Arial"/>
          <w:sz w:val="24"/>
          <w:szCs w:val="24"/>
        </w:rPr>
        <w:br/>
      </w:r>
      <w:r w:rsidR="00BF6AFC" w:rsidRPr="00E37F1D">
        <w:rPr>
          <w:rFonts w:ascii="Arial" w:hAnsi="Arial" w:cs="Arial"/>
          <w:i/>
          <w:sz w:val="24"/>
          <w:szCs w:val="24"/>
        </w:rPr>
        <w:t xml:space="preserve">Presented by R.P. Alger at </w:t>
      </w:r>
      <w:r w:rsidR="00831465" w:rsidRPr="00E37F1D">
        <w:rPr>
          <w:rFonts w:ascii="Arial" w:hAnsi="Arial" w:cs="Arial"/>
          <w:i/>
          <w:sz w:val="24"/>
          <w:szCs w:val="24"/>
        </w:rPr>
        <w:t>2</w:t>
      </w:r>
      <w:r w:rsidR="00831465" w:rsidRPr="00E37F1D">
        <w:rPr>
          <w:rFonts w:ascii="Arial" w:hAnsi="Arial" w:cs="Arial"/>
          <w:i/>
          <w:sz w:val="24"/>
          <w:szCs w:val="24"/>
          <w:vertAlign w:val="superscript"/>
        </w:rPr>
        <w:t>nd</w:t>
      </w:r>
      <w:r w:rsidR="00831465" w:rsidRPr="00E37F1D">
        <w:rPr>
          <w:rFonts w:ascii="Arial" w:hAnsi="Arial" w:cs="Arial"/>
          <w:i/>
          <w:sz w:val="24"/>
          <w:szCs w:val="24"/>
        </w:rPr>
        <w:t xml:space="preserve"> </w:t>
      </w:r>
      <w:r w:rsidRPr="00E37F1D">
        <w:rPr>
          <w:rFonts w:ascii="Arial" w:hAnsi="Arial" w:cs="Arial"/>
          <w:i/>
          <w:sz w:val="24"/>
          <w:szCs w:val="24"/>
        </w:rPr>
        <w:t>Salt Symposiu</w:t>
      </w:r>
      <w:r w:rsidR="00831465" w:rsidRPr="00E37F1D">
        <w:rPr>
          <w:rFonts w:ascii="Arial" w:hAnsi="Arial" w:cs="Arial"/>
          <w:i/>
          <w:sz w:val="24"/>
          <w:szCs w:val="24"/>
        </w:rPr>
        <w:t>m</w:t>
      </w:r>
      <w:r w:rsidRPr="00E37F1D">
        <w:rPr>
          <w:rFonts w:ascii="Arial" w:hAnsi="Arial" w:cs="Arial"/>
          <w:i/>
          <w:sz w:val="24"/>
          <w:szCs w:val="24"/>
        </w:rPr>
        <w:t xml:space="preserve">, Northern Ohio Geological Society, </w:t>
      </w:r>
      <w:r w:rsidR="00831465" w:rsidRPr="00E37F1D">
        <w:rPr>
          <w:rFonts w:ascii="Arial" w:hAnsi="Arial" w:cs="Arial"/>
          <w:i/>
          <w:sz w:val="24"/>
          <w:szCs w:val="24"/>
        </w:rPr>
        <w:t>Cleveland Ohio, 1966.</w:t>
      </w:r>
      <w:r w:rsidR="00BF6AFC" w:rsidRPr="00E37F1D">
        <w:rPr>
          <w:rFonts w:ascii="Arial" w:hAnsi="Arial" w:cs="Arial"/>
          <w:i/>
          <w:sz w:val="24"/>
          <w:szCs w:val="24"/>
        </w:rPr>
        <w:t xml:space="preserve"> Published in </w:t>
      </w:r>
      <w:r w:rsidR="00FB15C1" w:rsidRPr="00E37F1D">
        <w:rPr>
          <w:rFonts w:ascii="Arial" w:hAnsi="Arial" w:cs="Arial"/>
          <w:i/>
          <w:sz w:val="24"/>
          <w:szCs w:val="24"/>
        </w:rPr>
        <w:t>Symposium</w:t>
      </w:r>
      <w:r w:rsidR="00BF6AFC" w:rsidRPr="00E37F1D">
        <w:rPr>
          <w:rFonts w:ascii="Arial" w:hAnsi="Arial" w:cs="Arial"/>
          <w:i/>
          <w:sz w:val="24"/>
          <w:szCs w:val="24"/>
        </w:rPr>
        <w:t xml:space="preserve"> Transactions.</w:t>
      </w:r>
      <w:r w:rsidR="0005221D" w:rsidRPr="00E37F1D">
        <w:rPr>
          <w:rFonts w:ascii="Arial" w:hAnsi="Arial" w:cs="Arial"/>
          <w:i/>
          <w:sz w:val="24"/>
          <w:szCs w:val="24"/>
        </w:rPr>
        <w:t xml:space="preserve"> This electronic version created Feb 2021.</w:t>
      </w:r>
    </w:p>
    <w:p w14:paraId="32E7EB44" w14:textId="12CF0C77" w:rsidR="00C2688A" w:rsidRPr="00E37F1D" w:rsidRDefault="00831465" w:rsidP="00831465">
      <w:pPr>
        <w:spacing w:before="136" w:line="276" w:lineRule="auto"/>
        <w:rPr>
          <w:rFonts w:ascii="Arial" w:hAnsi="Arial" w:cs="Arial"/>
          <w:sz w:val="24"/>
          <w:szCs w:val="24"/>
        </w:rPr>
      </w:pPr>
      <w:r w:rsidRPr="0005221D">
        <w:rPr>
          <w:rFonts w:ascii="Arial" w:hAnsi="Arial" w:cs="Arial"/>
          <w:b/>
          <w:color w:val="030303"/>
          <w:sz w:val="20"/>
          <w:szCs w:val="20"/>
        </w:rPr>
        <w:br/>
      </w:r>
      <w:r w:rsidR="00C2688A" w:rsidRPr="00831465">
        <w:rPr>
          <w:rFonts w:ascii="Arial" w:hAnsi="Arial" w:cs="Arial"/>
          <w:b/>
          <w:color w:val="030303"/>
          <w:sz w:val="24"/>
          <w:szCs w:val="24"/>
        </w:rPr>
        <w:t>ABSTRACT</w:t>
      </w:r>
      <w:r>
        <w:rPr>
          <w:rFonts w:ascii="Arial" w:hAnsi="Arial" w:cs="Arial"/>
          <w:b/>
          <w:color w:val="030303"/>
          <w:sz w:val="24"/>
          <w:szCs w:val="24"/>
        </w:rPr>
        <w:br/>
      </w:r>
      <w:r w:rsidR="00125AF1" w:rsidRPr="00E37F1D">
        <w:rPr>
          <w:rFonts w:ascii="Arial" w:hAnsi="Arial" w:cs="Arial"/>
          <w:sz w:val="24"/>
          <w:szCs w:val="24"/>
        </w:rPr>
        <w:t xml:space="preserve">Many </w:t>
      </w:r>
      <w:r w:rsidR="00125AF1" w:rsidRPr="009321C0">
        <w:rPr>
          <w:rFonts w:ascii="Arial" w:hAnsi="Arial" w:cs="Arial"/>
          <w:sz w:val="24"/>
          <w:szCs w:val="24"/>
        </w:rPr>
        <w:t>evapor</w:t>
      </w:r>
      <w:r w:rsidR="00736FC4" w:rsidRPr="009321C0">
        <w:rPr>
          <w:rFonts w:ascii="Arial" w:hAnsi="Arial" w:cs="Arial"/>
          <w:sz w:val="24"/>
          <w:szCs w:val="24"/>
        </w:rPr>
        <w:t>i</w:t>
      </w:r>
      <w:r w:rsidR="00125AF1" w:rsidRPr="009321C0">
        <w:rPr>
          <w:rFonts w:ascii="Arial" w:hAnsi="Arial" w:cs="Arial"/>
          <w:sz w:val="24"/>
          <w:szCs w:val="24"/>
        </w:rPr>
        <w:t>te</w:t>
      </w:r>
      <w:r w:rsidR="00125AF1" w:rsidRPr="00E37F1D">
        <w:rPr>
          <w:rFonts w:ascii="Arial" w:hAnsi="Arial" w:cs="Arial"/>
          <w:sz w:val="24"/>
          <w:szCs w:val="24"/>
        </w:rPr>
        <w:t xml:space="preserve"> deposits can be located and defined through use of electrical logging tools developed for oil exploration. These logging tools, run into drilled holes at the end of electrically insulated cables, provide continuous recordings of various formation properties. Among the formation characteristics that may be recorded are electrical resistivity, density, natural radioactivity (Gamma Ray log), response to neutron irradiation (Neutron log), </w:t>
      </w:r>
      <w:r w:rsidR="00125AF1" w:rsidRPr="009321C0">
        <w:rPr>
          <w:rFonts w:ascii="Arial" w:hAnsi="Arial" w:cs="Arial"/>
          <w:sz w:val="24"/>
          <w:szCs w:val="24"/>
        </w:rPr>
        <w:t>an</w:t>
      </w:r>
      <w:r w:rsidR="00736FC4" w:rsidRPr="009321C0">
        <w:rPr>
          <w:rFonts w:ascii="Arial" w:hAnsi="Arial" w:cs="Arial"/>
          <w:sz w:val="24"/>
          <w:szCs w:val="24"/>
        </w:rPr>
        <w:t>d</w:t>
      </w:r>
      <w:r w:rsidR="00125AF1" w:rsidRPr="00E37F1D">
        <w:rPr>
          <w:rFonts w:ascii="Arial" w:hAnsi="Arial" w:cs="Arial"/>
          <w:sz w:val="24"/>
          <w:szCs w:val="24"/>
        </w:rPr>
        <w:t xml:space="preserve"> acoustic transit time (Sonic log)</w:t>
      </w:r>
      <w:r w:rsidR="006F2B26">
        <w:rPr>
          <w:rFonts w:ascii="Arial" w:hAnsi="Arial" w:cs="Arial"/>
          <w:sz w:val="24"/>
          <w:szCs w:val="24"/>
        </w:rPr>
        <w:t>.</w:t>
      </w:r>
      <w:r w:rsidR="00125AF1" w:rsidRPr="00E37F1D">
        <w:rPr>
          <w:rFonts w:ascii="Arial" w:hAnsi="Arial" w:cs="Arial"/>
          <w:sz w:val="24"/>
          <w:szCs w:val="24"/>
        </w:rPr>
        <w:t xml:space="preserve"> </w:t>
      </w:r>
    </w:p>
    <w:p w14:paraId="701EE969" w14:textId="2429A382" w:rsidR="00125AF1" w:rsidRPr="00E37F1D" w:rsidRDefault="00125AF1">
      <w:pPr>
        <w:rPr>
          <w:rFonts w:ascii="Arial" w:hAnsi="Arial" w:cs="Arial"/>
          <w:sz w:val="24"/>
          <w:szCs w:val="24"/>
        </w:rPr>
      </w:pPr>
      <w:r w:rsidRPr="00E37F1D">
        <w:rPr>
          <w:rFonts w:ascii="Arial" w:hAnsi="Arial" w:cs="Arial"/>
          <w:sz w:val="24"/>
          <w:szCs w:val="24"/>
        </w:rPr>
        <w:t xml:space="preserve">In oilfield applications of the logs, interest is primarily directed to the definition of the amount and type of fluids in the formations. These determinations require that matrix effects be defined and accounted for through appropriate combinations of logging measurements. In evaporite exploration the primary interest is in the identification and definition of the matrix minerals. </w:t>
      </w:r>
    </w:p>
    <w:p w14:paraId="60C70B5E" w14:textId="54D45D74" w:rsidR="00C2688A" w:rsidRPr="00E37F1D" w:rsidRDefault="00125AF1">
      <w:pPr>
        <w:rPr>
          <w:rFonts w:ascii="Arial" w:hAnsi="Arial" w:cs="Arial"/>
          <w:sz w:val="24"/>
          <w:szCs w:val="24"/>
        </w:rPr>
      </w:pPr>
      <w:r w:rsidRPr="00E37F1D">
        <w:rPr>
          <w:rFonts w:ascii="Arial" w:hAnsi="Arial" w:cs="Arial"/>
          <w:sz w:val="24"/>
          <w:szCs w:val="24"/>
        </w:rPr>
        <w:t xml:space="preserve">Because most evaporite minerals are extremely resistive, electrical resistivity measurements are frequently used in a first reconnaissance. The less resistive beds of shale, sand, and </w:t>
      </w:r>
      <w:r w:rsidR="00736FC4" w:rsidRPr="00F745BD">
        <w:rPr>
          <w:rFonts w:ascii="Arial" w:hAnsi="Arial" w:cs="Arial"/>
          <w:sz w:val="24"/>
          <w:szCs w:val="24"/>
        </w:rPr>
        <w:t>carbonate</w:t>
      </w:r>
      <w:r w:rsidRPr="00E37F1D">
        <w:rPr>
          <w:rFonts w:ascii="Arial" w:hAnsi="Arial" w:cs="Arial"/>
          <w:sz w:val="24"/>
          <w:szCs w:val="24"/>
        </w:rPr>
        <w:t xml:space="preserve"> may be illuminated from further study. </w:t>
      </w:r>
    </w:p>
    <w:p w14:paraId="1C17E0D4" w14:textId="3D9127D3" w:rsidR="00C2688A" w:rsidRPr="00E37F1D" w:rsidRDefault="00125AF1">
      <w:pPr>
        <w:rPr>
          <w:rFonts w:ascii="Arial" w:hAnsi="Arial" w:cs="Arial"/>
          <w:sz w:val="24"/>
          <w:szCs w:val="24"/>
        </w:rPr>
      </w:pPr>
      <w:r w:rsidRPr="00E37F1D">
        <w:rPr>
          <w:rFonts w:ascii="Arial" w:hAnsi="Arial" w:cs="Arial"/>
          <w:sz w:val="24"/>
          <w:szCs w:val="24"/>
        </w:rPr>
        <w:t xml:space="preserve">Formation density measurements are used in most </w:t>
      </w:r>
      <w:r w:rsidR="00736FC4" w:rsidRPr="009321C0">
        <w:rPr>
          <w:rFonts w:ascii="Arial" w:hAnsi="Arial" w:cs="Arial"/>
          <w:sz w:val="24"/>
          <w:szCs w:val="24"/>
        </w:rPr>
        <w:t>evaporite</w:t>
      </w:r>
      <w:r w:rsidRPr="00E37F1D">
        <w:rPr>
          <w:rFonts w:ascii="Arial" w:hAnsi="Arial" w:cs="Arial"/>
          <w:sz w:val="24"/>
          <w:szCs w:val="24"/>
        </w:rPr>
        <w:t xml:space="preserve"> studies. Some minerals are directly identified by density measurement, but usually density must be complemented by other data. Comparisons of density and acoustic </w:t>
      </w:r>
      <w:r w:rsidR="00F745BD">
        <w:rPr>
          <w:rFonts w:ascii="Arial" w:hAnsi="Arial" w:cs="Arial"/>
          <w:sz w:val="24"/>
          <w:szCs w:val="24"/>
        </w:rPr>
        <w:t>transit time</w:t>
      </w:r>
      <w:r w:rsidR="00B4775E">
        <w:rPr>
          <w:rFonts w:ascii="Arial" w:hAnsi="Arial" w:cs="Arial"/>
          <w:color w:val="FF0000"/>
          <w:sz w:val="24"/>
          <w:szCs w:val="24"/>
        </w:rPr>
        <w:t xml:space="preserve"> </w:t>
      </w:r>
      <w:r w:rsidRPr="00E37F1D">
        <w:rPr>
          <w:rFonts w:ascii="Arial" w:hAnsi="Arial" w:cs="Arial"/>
          <w:sz w:val="24"/>
          <w:szCs w:val="24"/>
        </w:rPr>
        <w:t>identify salt, trona, anhydrite, and other evaporites. Because the neutron log is sensitive to the amount of water of crystallization in an evaporite formation, it provides information necessary to define such hydrous materials as gypsum, polyhalite, kyanite, carnallite, and trona. The Gamma Ray measurements are used to determine potassium content and thus help distinguish between various potassium salts</w:t>
      </w:r>
      <w:r w:rsidR="00736FC4" w:rsidRPr="009321C0">
        <w:rPr>
          <w:rFonts w:ascii="Arial" w:hAnsi="Arial" w:cs="Arial"/>
          <w:sz w:val="24"/>
          <w:szCs w:val="24"/>
        </w:rPr>
        <w:t>.</w:t>
      </w:r>
      <w:r w:rsidRPr="009321C0">
        <w:rPr>
          <w:rFonts w:ascii="Arial" w:hAnsi="Arial" w:cs="Arial"/>
          <w:sz w:val="24"/>
          <w:szCs w:val="24"/>
        </w:rPr>
        <w:t xml:space="preserve"> </w:t>
      </w:r>
    </w:p>
    <w:p w14:paraId="6607AAFC" w14:textId="36DF9621" w:rsidR="00C2688A" w:rsidRPr="00876689" w:rsidRDefault="00125AF1">
      <w:pPr>
        <w:rPr>
          <w:rFonts w:ascii="Arial" w:hAnsi="Arial" w:cs="Arial"/>
          <w:b/>
          <w:sz w:val="24"/>
          <w:szCs w:val="24"/>
        </w:rPr>
      </w:pPr>
      <w:r w:rsidRPr="00876689">
        <w:rPr>
          <w:rFonts w:ascii="Arial" w:hAnsi="Arial" w:cs="Arial"/>
          <w:b/>
          <w:sz w:val="24"/>
          <w:szCs w:val="24"/>
        </w:rPr>
        <w:t>INTRODUCTION</w:t>
      </w:r>
    </w:p>
    <w:p w14:paraId="7A03A57C" w14:textId="4BB9C52C" w:rsidR="00125AF1" w:rsidRPr="00E37F1D" w:rsidRDefault="00125AF1">
      <w:pPr>
        <w:rPr>
          <w:rFonts w:ascii="Arial" w:hAnsi="Arial" w:cs="Arial"/>
          <w:sz w:val="24"/>
          <w:szCs w:val="24"/>
        </w:rPr>
      </w:pPr>
      <w:r w:rsidRPr="00E37F1D">
        <w:rPr>
          <w:rFonts w:ascii="Arial" w:hAnsi="Arial" w:cs="Arial"/>
          <w:sz w:val="24"/>
          <w:szCs w:val="24"/>
        </w:rPr>
        <w:t>Electrical well logs, so useful in oil exploration, accurately locate and identify evaporite beds. This paper will show how certain logs define the type of evapor</w:t>
      </w:r>
      <w:r w:rsidR="00AE0EA6" w:rsidRPr="00E37F1D">
        <w:rPr>
          <w:rFonts w:ascii="Arial" w:hAnsi="Arial" w:cs="Arial"/>
          <w:sz w:val="24"/>
          <w:szCs w:val="24"/>
        </w:rPr>
        <w:t>i</w:t>
      </w:r>
      <w:r w:rsidRPr="00E37F1D">
        <w:rPr>
          <w:rFonts w:ascii="Arial" w:hAnsi="Arial" w:cs="Arial"/>
          <w:sz w:val="24"/>
          <w:szCs w:val="24"/>
        </w:rPr>
        <w:t xml:space="preserve">te. Furthermore, data from log combinations permit estimation of percentages of minerals and mixtures. </w:t>
      </w:r>
    </w:p>
    <w:p w14:paraId="12EB180C" w14:textId="44D104BE" w:rsidR="00AE0CE4" w:rsidRPr="00E37F1D" w:rsidRDefault="00AE0EA6">
      <w:pPr>
        <w:rPr>
          <w:rFonts w:ascii="Arial" w:hAnsi="Arial" w:cs="Arial"/>
          <w:sz w:val="24"/>
          <w:szCs w:val="24"/>
        </w:rPr>
      </w:pPr>
      <w:r w:rsidRPr="00E37F1D">
        <w:rPr>
          <w:rFonts w:ascii="Arial" w:hAnsi="Arial" w:cs="Arial"/>
          <w:sz w:val="24"/>
          <w:szCs w:val="24"/>
        </w:rPr>
        <w:t xml:space="preserve">The process for making logs in boreholes involves the following: a sonde or exploring device, usually electronically operated, is lowered into the borehole at the end of an </w:t>
      </w:r>
      <w:r w:rsidRPr="00E37F1D">
        <w:rPr>
          <w:rFonts w:ascii="Arial" w:hAnsi="Arial" w:cs="Arial"/>
          <w:sz w:val="24"/>
          <w:szCs w:val="24"/>
        </w:rPr>
        <w:lastRenderedPageBreak/>
        <w:t>armored cable. This cable contains insulated conductors for signal transmission</w:t>
      </w:r>
      <w:r w:rsidR="00736FC4">
        <w:rPr>
          <w:rFonts w:ascii="Arial" w:hAnsi="Arial" w:cs="Arial"/>
          <w:sz w:val="24"/>
          <w:szCs w:val="24"/>
        </w:rPr>
        <w:t xml:space="preserve"> </w:t>
      </w:r>
      <w:r w:rsidR="00736FC4" w:rsidRPr="009321C0">
        <w:rPr>
          <w:rFonts w:ascii="Arial" w:hAnsi="Arial" w:cs="Arial"/>
          <w:sz w:val="24"/>
          <w:szCs w:val="24"/>
        </w:rPr>
        <w:t>and</w:t>
      </w:r>
      <w:r w:rsidRPr="009321C0">
        <w:rPr>
          <w:rFonts w:ascii="Arial" w:hAnsi="Arial" w:cs="Arial"/>
          <w:sz w:val="24"/>
          <w:szCs w:val="24"/>
        </w:rPr>
        <w:t xml:space="preserve"> </w:t>
      </w:r>
      <w:r w:rsidRPr="00E37F1D">
        <w:rPr>
          <w:rFonts w:ascii="Arial" w:hAnsi="Arial" w:cs="Arial"/>
          <w:sz w:val="24"/>
          <w:szCs w:val="24"/>
        </w:rPr>
        <w:t xml:space="preserve">provides accurate measurements of the position of the sonde below the surface. The cable is spooled on a powered winch drum. As this cable is lowered or raised, signals from the sonde are processed through surface equipment, then photographically recorded on a moving film which is synchronized with the rate of cable movement. This photographic record is called an electrical well log. </w:t>
      </w:r>
    </w:p>
    <w:p w14:paraId="03275D72" w14:textId="4D7E2ACF" w:rsidR="00C2688A" w:rsidRPr="00E37F1D" w:rsidRDefault="00AE0CE4">
      <w:pPr>
        <w:rPr>
          <w:rFonts w:ascii="Arial" w:hAnsi="Arial" w:cs="Arial"/>
          <w:sz w:val="24"/>
          <w:szCs w:val="24"/>
        </w:rPr>
      </w:pPr>
      <w:r w:rsidRPr="00E37F1D">
        <w:rPr>
          <w:rFonts w:ascii="Arial" w:hAnsi="Arial" w:cs="Arial"/>
          <w:b/>
          <w:sz w:val="24"/>
          <w:szCs w:val="24"/>
        </w:rPr>
        <w:t>IMPORTANT PROPERTIES MEASURED</w:t>
      </w:r>
      <w:r w:rsidR="00831465" w:rsidRPr="00E37F1D">
        <w:rPr>
          <w:rFonts w:ascii="Arial" w:hAnsi="Arial" w:cs="Arial"/>
          <w:b/>
          <w:sz w:val="24"/>
          <w:szCs w:val="24"/>
        </w:rPr>
        <w:br/>
      </w:r>
      <w:r w:rsidRPr="00E37F1D">
        <w:rPr>
          <w:rFonts w:ascii="Arial" w:hAnsi="Arial" w:cs="Arial"/>
          <w:sz w:val="24"/>
          <w:szCs w:val="24"/>
        </w:rPr>
        <w:t xml:space="preserve">For oilfield use electrical logs provide a means for defining the amount and type of fluids contained within porous formations. Also, the type of lithology is often determined if suitable logs are available. The accumulated understanding of these lithologic matrix effects can easily be extended into the realm of </w:t>
      </w:r>
      <w:r w:rsidR="00736FC4" w:rsidRPr="009321C0">
        <w:rPr>
          <w:rFonts w:ascii="Arial" w:hAnsi="Arial" w:cs="Arial"/>
          <w:sz w:val="24"/>
          <w:szCs w:val="24"/>
        </w:rPr>
        <w:t>evaporite</w:t>
      </w:r>
      <w:r w:rsidRPr="00E37F1D">
        <w:rPr>
          <w:rFonts w:ascii="Arial" w:hAnsi="Arial" w:cs="Arial"/>
          <w:sz w:val="24"/>
          <w:szCs w:val="24"/>
        </w:rPr>
        <w:t xml:space="preserve"> logging. Pertinent formation properties, measurable by borehole devices are as follows: </w:t>
      </w:r>
    </w:p>
    <w:p w14:paraId="501FD3D3" w14:textId="1E02440B" w:rsidR="00DA2DE9" w:rsidRPr="00E37F1D" w:rsidRDefault="00DA2DE9" w:rsidP="00DA2DE9">
      <w:pPr>
        <w:pStyle w:val="ListParagraph"/>
        <w:numPr>
          <w:ilvl w:val="0"/>
          <w:numId w:val="31"/>
        </w:numPr>
        <w:rPr>
          <w:rFonts w:ascii="Arial" w:hAnsi="Arial" w:cs="Arial"/>
          <w:sz w:val="24"/>
          <w:szCs w:val="24"/>
        </w:rPr>
      </w:pPr>
      <w:r w:rsidRPr="00E37F1D">
        <w:rPr>
          <w:rFonts w:ascii="Arial" w:hAnsi="Arial" w:cs="Arial"/>
          <w:sz w:val="24"/>
          <w:szCs w:val="24"/>
        </w:rPr>
        <w:t>Electrical Resistivity (R</w:t>
      </w:r>
      <w:r w:rsidRPr="00E37F1D">
        <w:rPr>
          <w:rFonts w:ascii="Arial" w:hAnsi="Arial" w:cs="Arial"/>
          <w:sz w:val="24"/>
          <w:szCs w:val="24"/>
          <w:vertAlign w:val="subscript"/>
        </w:rPr>
        <w:t>T</w:t>
      </w:r>
      <w:r w:rsidRPr="00E37F1D">
        <w:rPr>
          <w:rFonts w:ascii="Arial" w:hAnsi="Arial" w:cs="Arial"/>
          <w:sz w:val="24"/>
          <w:szCs w:val="24"/>
        </w:rPr>
        <w:t>). This is the property of the formation to oppose the flow of electrical current.  Resistivity is expressed in ohm-meters (a simplification of ohm-m</w:t>
      </w:r>
      <w:r w:rsidRPr="00E37F1D">
        <w:rPr>
          <w:rFonts w:ascii="Arial" w:hAnsi="Arial" w:cs="Arial"/>
          <w:sz w:val="24"/>
          <w:szCs w:val="24"/>
          <w:vertAlign w:val="superscript"/>
        </w:rPr>
        <w:t>2</w:t>
      </w:r>
      <w:r w:rsidRPr="00E37F1D">
        <w:rPr>
          <w:rFonts w:ascii="Arial" w:hAnsi="Arial" w:cs="Arial"/>
          <w:sz w:val="24"/>
          <w:szCs w:val="24"/>
        </w:rPr>
        <w:t>/m).</w:t>
      </w:r>
      <w:r w:rsidR="00831465" w:rsidRPr="00E37F1D">
        <w:rPr>
          <w:rFonts w:ascii="Arial" w:hAnsi="Arial" w:cs="Arial"/>
          <w:sz w:val="24"/>
          <w:szCs w:val="24"/>
        </w:rPr>
        <w:br/>
      </w:r>
    </w:p>
    <w:p w14:paraId="68346E73" w14:textId="2AE2EB59" w:rsidR="00AE0CE4" w:rsidRPr="00E37F1D" w:rsidRDefault="00DA2DE9" w:rsidP="00DA2DE9">
      <w:pPr>
        <w:pStyle w:val="ListParagraph"/>
        <w:numPr>
          <w:ilvl w:val="0"/>
          <w:numId w:val="31"/>
        </w:numPr>
        <w:rPr>
          <w:rFonts w:ascii="Arial" w:hAnsi="Arial" w:cs="Arial"/>
          <w:sz w:val="24"/>
          <w:szCs w:val="24"/>
        </w:rPr>
      </w:pPr>
      <w:r w:rsidRPr="00E37F1D">
        <w:rPr>
          <w:rFonts w:ascii="Arial" w:hAnsi="Arial" w:cs="Arial"/>
          <w:sz w:val="24"/>
          <w:szCs w:val="24"/>
        </w:rPr>
        <w:t>Bulk density</w:t>
      </w:r>
      <w:r w:rsidR="00E4445A" w:rsidRPr="00E37F1D">
        <w:rPr>
          <w:rFonts w:ascii="Arial" w:hAnsi="Arial" w:cs="Arial"/>
          <w:sz w:val="24"/>
          <w:szCs w:val="24"/>
        </w:rPr>
        <w:t xml:space="preserve"> (</w:t>
      </w:r>
      <w:r w:rsidR="00736FC4" w:rsidRPr="009321C0">
        <w:rPr>
          <w:rFonts w:ascii="Symbol" w:hAnsi="Symbol" w:cs="Arial"/>
          <w:sz w:val="28"/>
          <w:szCs w:val="28"/>
        </w:rPr>
        <w:t></w:t>
      </w:r>
      <w:r w:rsidR="00E4445A" w:rsidRPr="00672205">
        <w:rPr>
          <w:rFonts w:ascii="Arial" w:hAnsi="Arial" w:cs="Arial"/>
          <w:sz w:val="24"/>
          <w:szCs w:val="24"/>
          <w:vertAlign w:val="subscript"/>
        </w:rPr>
        <w:t>B</w:t>
      </w:r>
      <w:r w:rsidR="00E4445A" w:rsidRPr="00E37F1D">
        <w:rPr>
          <w:rFonts w:ascii="Arial" w:hAnsi="Arial" w:cs="Arial"/>
          <w:sz w:val="24"/>
          <w:szCs w:val="24"/>
        </w:rPr>
        <w:t>)</w:t>
      </w:r>
      <w:r w:rsidRPr="00E37F1D">
        <w:rPr>
          <w:rFonts w:ascii="Arial" w:hAnsi="Arial" w:cs="Arial"/>
          <w:sz w:val="24"/>
          <w:szCs w:val="24"/>
        </w:rPr>
        <w:t xml:space="preserve">. This is numerically equivalent to specific gravity and denotes the average density of a formation expressed in </w:t>
      </w:r>
      <w:r w:rsidR="00E4445A" w:rsidRPr="00E37F1D">
        <w:rPr>
          <w:rFonts w:ascii="Arial" w:hAnsi="Arial" w:cs="Arial"/>
          <w:sz w:val="24"/>
          <w:szCs w:val="24"/>
        </w:rPr>
        <w:t xml:space="preserve">gm/cc. Measurement involves the Compton scattering of Gamma Rays which emanate from a constant radiation source on the tool. The amount of Compton scattering which takes place is a function of the average electron density of the formation. For some minerals (such as NaCl) electron density is not quite proportional to specific gravity (Wahl and </w:t>
      </w:r>
      <w:proofErr w:type="spellStart"/>
      <w:r w:rsidR="00E4445A" w:rsidRPr="00E37F1D">
        <w:rPr>
          <w:rFonts w:ascii="Arial" w:hAnsi="Arial" w:cs="Arial"/>
          <w:sz w:val="24"/>
          <w:szCs w:val="24"/>
        </w:rPr>
        <w:t>Tittman</w:t>
      </w:r>
      <w:proofErr w:type="spellEnd"/>
      <w:r w:rsidR="00E4445A" w:rsidRPr="00E37F1D">
        <w:rPr>
          <w:rFonts w:ascii="Arial" w:hAnsi="Arial" w:cs="Arial"/>
          <w:sz w:val="24"/>
          <w:szCs w:val="24"/>
        </w:rPr>
        <w:t>, 1964). Therefore</w:t>
      </w:r>
      <w:r w:rsidR="009278E7" w:rsidRPr="00E37F1D">
        <w:rPr>
          <w:rFonts w:ascii="Arial" w:hAnsi="Arial" w:cs="Arial"/>
          <w:sz w:val="24"/>
          <w:szCs w:val="24"/>
        </w:rPr>
        <w:t>,</w:t>
      </w:r>
      <w:r w:rsidR="00E4445A" w:rsidRPr="00E37F1D">
        <w:rPr>
          <w:rFonts w:ascii="Arial" w:hAnsi="Arial" w:cs="Arial"/>
          <w:sz w:val="24"/>
          <w:szCs w:val="24"/>
        </w:rPr>
        <w:t xml:space="preserve"> such minerals require use of an apparent </w:t>
      </w:r>
      <w:r w:rsidR="00736FC4" w:rsidRPr="009321C0">
        <w:rPr>
          <w:rFonts w:ascii="Symbol" w:hAnsi="Symbol" w:cs="Arial"/>
          <w:sz w:val="28"/>
          <w:szCs w:val="28"/>
        </w:rPr>
        <w:t></w:t>
      </w:r>
      <w:r w:rsidR="00E4445A" w:rsidRPr="00E37F1D">
        <w:rPr>
          <w:rFonts w:ascii="Arial" w:hAnsi="Arial" w:cs="Arial"/>
          <w:sz w:val="24"/>
          <w:szCs w:val="24"/>
        </w:rPr>
        <w:t xml:space="preserve">B for interpretation purpose. Comparisons of actual densities with log values of </w:t>
      </w:r>
      <w:r w:rsidR="00736FC4" w:rsidRPr="009321C0">
        <w:rPr>
          <w:rFonts w:ascii="Symbol" w:hAnsi="Symbol" w:cs="Arial"/>
          <w:sz w:val="28"/>
          <w:szCs w:val="28"/>
        </w:rPr>
        <w:t></w:t>
      </w:r>
      <w:r w:rsidR="00E4445A" w:rsidRPr="00E37F1D">
        <w:rPr>
          <w:rFonts w:ascii="Arial" w:hAnsi="Arial" w:cs="Arial"/>
          <w:sz w:val="24"/>
          <w:szCs w:val="24"/>
        </w:rPr>
        <w:t xml:space="preserve">B in Table 1 illustrate these differences. </w:t>
      </w:r>
      <w:r w:rsidRPr="00E37F1D">
        <w:rPr>
          <w:rFonts w:ascii="Arial" w:hAnsi="Arial" w:cs="Arial"/>
          <w:sz w:val="24"/>
          <w:szCs w:val="24"/>
        </w:rPr>
        <w:t xml:space="preserve"> </w:t>
      </w:r>
      <w:r w:rsidR="008E2F94" w:rsidRPr="00E37F1D">
        <w:rPr>
          <w:rFonts w:ascii="Arial" w:hAnsi="Arial" w:cs="Arial"/>
          <w:sz w:val="24"/>
          <w:szCs w:val="24"/>
        </w:rPr>
        <w:br/>
      </w:r>
    </w:p>
    <w:p w14:paraId="24F1FB8B" w14:textId="3488FDFA" w:rsidR="00E4445A" w:rsidRPr="00E37F1D" w:rsidRDefault="00E4445A" w:rsidP="00DA2DE9">
      <w:pPr>
        <w:pStyle w:val="ListParagraph"/>
        <w:numPr>
          <w:ilvl w:val="0"/>
          <w:numId w:val="31"/>
        </w:numPr>
        <w:rPr>
          <w:rFonts w:ascii="Arial" w:hAnsi="Arial" w:cs="Arial"/>
          <w:sz w:val="24"/>
          <w:szCs w:val="24"/>
        </w:rPr>
      </w:pPr>
      <w:r w:rsidRPr="00E37F1D">
        <w:rPr>
          <w:rFonts w:ascii="Arial" w:hAnsi="Arial" w:cs="Arial"/>
          <w:sz w:val="24"/>
          <w:szCs w:val="24"/>
        </w:rPr>
        <w:t>Acoustic interval transit time (</w:t>
      </w:r>
      <w:r w:rsidRPr="00E37F1D">
        <w:rPr>
          <w:rFonts w:ascii="Arial" w:hAnsi="Arial" w:cs="Arial"/>
          <w:sz w:val="24"/>
          <w:szCs w:val="24"/>
        </w:rPr>
        <w:sym w:font="Wingdings 3" w:char="F072"/>
      </w:r>
      <w:r w:rsidRPr="00E37F1D">
        <w:rPr>
          <w:rFonts w:ascii="Arial" w:hAnsi="Arial" w:cs="Arial"/>
          <w:sz w:val="24"/>
          <w:szCs w:val="24"/>
          <w:vertAlign w:val="subscript"/>
        </w:rPr>
        <w:t>t</w:t>
      </w:r>
      <w:r w:rsidRPr="00E37F1D">
        <w:rPr>
          <w:rFonts w:ascii="Arial" w:hAnsi="Arial" w:cs="Arial"/>
          <w:sz w:val="24"/>
          <w:szCs w:val="24"/>
        </w:rPr>
        <w:t xml:space="preserve">). This represents the time in microseconds required for a Sonic compressional wave to move one foot in the formation. This parameter is well known for many materials (see Table 1). </w:t>
      </w:r>
      <w:r w:rsidR="008E2F94" w:rsidRPr="00E37F1D">
        <w:rPr>
          <w:rFonts w:ascii="Arial" w:hAnsi="Arial" w:cs="Arial"/>
          <w:sz w:val="24"/>
          <w:szCs w:val="24"/>
        </w:rPr>
        <w:br/>
      </w:r>
    </w:p>
    <w:p w14:paraId="6E392341" w14:textId="2E093C7A" w:rsidR="00E4445A" w:rsidRPr="00E37F1D" w:rsidRDefault="00E4445A" w:rsidP="00DA2DE9">
      <w:pPr>
        <w:pStyle w:val="ListParagraph"/>
        <w:numPr>
          <w:ilvl w:val="0"/>
          <w:numId w:val="31"/>
        </w:numPr>
        <w:rPr>
          <w:rFonts w:ascii="Arial" w:hAnsi="Arial" w:cs="Arial"/>
          <w:sz w:val="24"/>
          <w:szCs w:val="24"/>
        </w:rPr>
      </w:pPr>
      <w:r w:rsidRPr="00E37F1D">
        <w:rPr>
          <w:rFonts w:ascii="Arial" w:hAnsi="Arial" w:cs="Arial"/>
          <w:sz w:val="24"/>
          <w:szCs w:val="24"/>
        </w:rPr>
        <w:t>Neutron porosity index (</w:t>
      </w:r>
      <w:r w:rsidR="0073000E" w:rsidRPr="009321C0">
        <w:rPr>
          <w:rFonts w:ascii="Symbol" w:hAnsi="Symbol" w:cs="Adobe Devanagari"/>
          <w:sz w:val="28"/>
          <w:szCs w:val="28"/>
        </w:rPr>
        <w:t></w:t>
      </w:r>
      <w:r w:rsidRPr="00E37F1D">
        <w:rPr>
          <w:rFonts w:ascii="Arial" w:hAnsi="Arial" w:cs="Arial"/>
          <w:sz w:val="24"/>
          <w:szCs w:val="24"/>
          <w:vertAlign w:val="subscript"/>
        </w:rPr>
        <w:t>n)</w:t>
      </w:r>
      <w:r w:rsidRPr="00E37F1D">
        <w:rPr>
          <w:rFonts w:ascii="Arial" w:hAnsi="Arial" w:cs="Arial"/>
          <w:sz w:val="24"/>
          <w:szCs w:val="24"/>
        </w:rPr>
        <w:t>. The Neutron Log is a measurement resulting from neutron irradiation of the formations. The response is primarily a function of the hydr</w:t>
      </w:r>
      <w:r w:rsidR="0073000E">
        <w:rPr>
          <w:rFonts w:ascii="Arial" w:hAnsi="Arial" w:cs="Arial"/>
          <w:sz w:val="24"/>
          <w:szCs w:val="24"/>
        </w:rPr>
        <w:t>o</w:t>
      </w:r>
      <w:r w:rsidRPr="00E37F1D">
        <w:rPr>
          <w:rFonts w:ascii="Arial" w:hAnsi="Arial" w:cs="Arial"/>
          <w:sz w:val="24"/>
          <w:szCs w:val="24"/>
        </w:rPr>
        <w:t xml:space="preserve">gen concentration, whether from water </w:t>
      </w:r>
      <w:r w:rsidRPr="0079521E">
        <w:rPr>
          <w:rFonts w:ascii="Arial" w:hAnsi="Arial" w:cs="Arial"/>
          <w:sz w:val="24"/>
          <w:szCs w:val="24"/>
        </w:rPr>
        <w:t xml:space="preserve">or </w:t>
      </w:r>
      <w:r w:rsidR="0079521E">
        <w:rPr>
          <w:rFonts w:ascii="Arial" w:hAnsi="Arial" w:cs="Arial"/>
          <w:sz w:val="24"/>
          <w:szCs w:val="24"/>
        </w:rPr>
        <w:t>from</w:t>
      </w:r>
      <w:r w:rsidRPr="0079521E">
        <w:rPr>
          <w:rFonts w:ascii="Arial" w:hAnsi="Arial" w:cs="Arial"/>
          <w:sz w:val="24"/>
          <w:szCs w:val="24"/>
        </w:rPr>
        <w:t xml:space="preserve"> </w:t>
      </w:r>
      <w:r w:rsidRPr="00E37F1D">
        <w:rPr>
          <w:rFonts w:ascii="Arial" w:hAnsi="Arial" w:cs="Arial"/>
          <w:sz w:val="24"/>
          <w:szCs w:val="24"/>
        </w:rPr>
        <w:t xml:space="preserve">hydrogen or from water (or oil) in the pore space. Additionally, some minerals produce a small matrix effect, so that </w:t>
      </w:r>
      <w:r w:rsidR="0073000E" w:rsidRPr="009321C0">
        <w:rPr>
          <w:rFonts w:ascii="Symbol" w:hAnsi="Symbol" w:cs="Adobe Devanagari"/>
          <w:sz w:val="28"/>
          <w:szCs w:val="28"/>
        </w:rPr>
        <w:t></w:t>
      </w:r>
      <w:r w:rsidRPr="00E37F1D">
        <w:rPr>
          <w:rFonts w:ascii="Arial" w:hAnsi="Arial" w:cs="Arial"/>
          <w:sz w:val="24"/>
          <w:szCs w:val="24"/>
          <w:vertAlign w:val="subscript"/>
        </w:rPr>
        <w:t>n</w:t>
      </w:r>
      <w:r w:rsidRPr="00E37F1D">
        <w:rPr>
          <w:rFonts w:ascii="Arial" w:hAnsi="Arial" w:cs="Arial"/>
          <w:sz w:val="24"/>
          <w:szCs w:val="24"/>
        </w:rPr>
        <w:t xml:space="preserve"> refers </w:t>
      </w:r>
      <w:r w:rsidR="0073000E" w:rsidRPr="00DD010F">
        <w:rPr>
          <w:rFonts w:ascii="Arial" w:hAnsi="Arial" w:cs="Arial"/>
          <w:sz w:val="24"/>
          <w:szCs w:val="24"/>
        </w:rPr>
        <w:t>to a</w:t>
      </w:r>
      <w:r w:rsidRPr="00E37F1D">
        <w:rPr>
          <w:rFonts w:ascii="Arial" w:hAnsi="Arial" w:cs="Arial"/>
          <w:sz w:val="24"/>
          <w:szCs w:val="24"/>
        </w:rPr>
        <w:t xml:space="preserve"> neutron curve deflection equivalent to that obtained in a water-filled limestone of that porosity.  Such matrix effects vary slightly for different types of Neutron tools.</w:t>
      </w:r>
      <w:r w:rsidR="008E2F94" w:rsidRPr="00E37F1D">
        <w:rPr>
          <w:rFonts w:ascii="Arial" w:hAnsi="Arial" w:cs="Arial"/>
          <w:sz w:val="24"/>
          <w:szCs w:val="24"/>
        </w:rPr>
        <w:br/>
      </w:r>
    </w:p>
    <w:p w14:paraId="37E314B3" w14:textId="5BCC83B9" w:rsidR="00E4445A" w:rsidRPr="00E37F1D" w:rsidRDefault="00E4445A" w:rsidP="00DA2DE9">
      <w:pPr>
        <w:pStyle w:val="ListParagraph"/>
        <w:numPr>
          <w:ilvl w:val="0"/>
          <w:numId w:val="31"/>
        </w:numPr>
        <w:rPr>
          <w:rFonts w:ascii="Arial" w:hAnsi="Arial" w:cs="Arial"/>
          <w:sz w:val="24"/>
          <w:szCs w:val="24"/>
        </w:rPr>
      </w:pPr>
      <w:r w:rsidRPr="00E37F1D">
        <w:rPr>
          <w:rFonts w:ascii="Arial" w:hAnsi="Arial" w:cs="Arial"/>
          <w:sz w:val="24"/>
          <w:szCs w:val="24"/>
        </w:rPr>
        <w:t>Natural Gamma Ray</w:t>
      </w:r>
      <w:r w:rsidR="00672205">
        <w:rPr>
          <w:rFonts w:ascii="Arial" w:hAnsi="Arial" w:cs="Arial"/>
          <w:sz w:val="24"/>
          <w:szCs w:val="24"/>
        </w:rPr>
        <w:t xml:space="preserve"> (GR)</w:t>
      </w:r>
      <w:r w:rsidRPr="00E37F1D">
        <w:rPr>
          <w:rFonts w:ascii="Arial" w:hAnsi="Arial" w:cs="Arial"/>
          <w:sz w:val="24"/>
          <w:szCs w:val="24"/>
        </w:rPr>
        <w:t xml:space="preserve">. This is a measurement of the naturally occurring </w:t>
      </w:r>
      <w:proofErr w:type="spellStart"/>
      <w:r w:rsidRPr="00DD010F">
        <w:rPr>
          <w:rFonts w:ascii="Arial" w:hAnsi="Arial" w:cs="Arial"/>
          <w:sz w:val="24"/>
          <w:szCs w:val="24"/>
        </w:rPr>
        <w:t>radioactivities</w:t>
      </w:r>
      <w:proofErr w:type="spellEnd"/>
      <w:r w:rsidRPr="00E37F1D">
        <w:rPr>
          <w:rFonts w:ascii="Arial" w:hAnsi="Arial" w:cs="Arial"/>
          <w:sz w:val="24"/>
          <w:szCs w:val="24"/>
        </w:rPr>
        <w:t xml:space="preserve"> of the formations expressed in API Units.  The Gamma Ray response is a </w:t>
      </w:r>
      <w:r w:rsidR="009278E7" w:rsidRPr="00E37F1D">
        <w:rPr>
          <w:rFonts w:ascii="Arial" w:hAnsi="Arial" w:cs="Arial"/>
          <w:sz w:val="24"/>
          <w:szCs w:val="24"/>
        </w:rPr>
        <w:t xml:space="preserve">function of potassium concentration in potash minerals.  In shales, </w:t>
      </w:r>
      <w:r w:rsidR="009278E7" w:rsidRPr="00E37F1D">
        <w:rPr>
          <w:rFonts w:ascii="Arial" w:hAnsi="Arial" w:cs="Arial"/>
          <w:sz w:val="24"/>
          <w:szCs w:val="24"/>
        </w:rPr>
        <w:lastRenderedPageBreak/>
        <w:t>the magnitude of curve deflection is a function of potassium, thorium, and uranium content.  The level of radiation is high in potash beds and, to a lesser extent, in shales; in other formations the level is low.</w:t>
      </w:r>
      <w:r w:rsidR="008E2F94" w:rsidRPr="00E37F1D">
        <w:rPr>
          <w:rFonts w:ascii="Arial" w:hAnsi="Arial" w:cs="Arial"/>
          <w:sz w:val="24"/>
          <w:szCs w:val="24"/>
        </w:rPr>
        <w:br/>
      </w:r>
    </w:p>
    <w:p w14:paraId="4B823487" w14:textId="77777777" w:rsidR="0079521E" w:rsidRDefault="00A601D1" w:rsidP="00BC4348">
      <w:pPr>
        <w:rPr>
          <w:rFonts w:ascii="Arial" w:hAnsi="Arial" w:cs="Arial"/>
          <w:sz w:val="24"/>
          <w:szCs w:val="24"/>
        </w:rPr>
      </w:pPr>
      <w:r w:rsidRPr="00E37F1D">
        <w:rPr>
          <w:rFonts w:ascii="Arial" w:hAnsi="Arial" w:cs="Arial"/>
          <w:noProof/>
          <w:sz w:val="24"/>
          <w:szCs w:val="24"/>
          <w:lang w:val="en-CA" w:eastAsia="en-CA"/>
        </w:rPr>
        <mc:AlternateContent>
          <mc:Choice Requires="wpi">
            <w:drawing>
              <wp:anchor distT="0" distB="0" distL="114300" distR="114300" simplePos="0" relativeHeight="251660288" behindDoc="0" locked="0" layoutInCell="1" allowOverlap="1" wp14:anchorId="3CCD7EA9" wp14:editId="1570B3F5">
                <wp:simplePos x="0" y="0"/>
                <wp:positionH relativeFrom="column">
                  <wp:posOffset>793620</wp:posOffset>
                </wp:positionH>
                <wp:positionV relativeFrom="paragraph">
                  <wp:posOffset>-2456765</wp:posOffset>
                </wp:positionV>
                <wp:extent cx="360" cy="360"/>
                <wp:effectExtent l="0" t="0" r="0" b="0"/>
                <wp:wrapNone/>
                <wp:docPr id="19" name="Ink 19"/>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374CBD2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61.3pt;margin-top:-194.65pt;width:2.4pt;height:2.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">
                <v:imagedata r:id="rId9" o:title=""/>
              </v:shape>
            </w:pict>
          </mc:Fallback>
        </mc:AlternateContent>
      </w:r>
      <w:r w:rsidR="00A54F23" w:rsidRPr="00E37F1D">
        <w:rPr>
          <w:rFonts w:ascii="Arial" w:hAnsi="Arial" w:cs="Arial"/>
          <w:sz w:val="24"/>
          <w:szCs w:val="24"/>
        </w:rPr>
        <w:t xml:space="preserve">A supplemental log of considerable usefulness is the hole caliper.  Increases in </w:t>
      </w:r>
      <w:r w:rsidR="0073000E" w:rsidRPr="00DD010F">
        <w:rPr>
          <w:rFonts w:ascii="Arial" w:hAnsi="Arial" w:cs="Arial"/>
          <w:sz w:val="24"/>
          <w:szCs w:val="24"/>
        </w:rPr>
        <w:t>hole</w:t>
      </w:r>
      <w:r w:rsidR="00A54F23" w:rsidRPr="00E37F1D">
        <w:rPr>
          <w:rFonts w:ascii="Arial" w:hAnsi="Arial" w:cs="Arial"/>
          <w:sz w:val="24"/>
          <w:szCs w:val="24"/>
        </w:rPr>
        <w:t xml:space="preserve"> diameter can be </w:t>
      </w:r>
      <w:r w:rsidR="0073000E" w:rsidRPr="00DD010F">
        <w:rPr>
          <w:rFonts w:ascii="Arial" w:hAnsi="Arial" w:cs="Arial"/>
          <w:sz w:val="24"/>
          <w:szCs w:val="24"/>
        </w:rPr>
        <w:t>caused</w:t>
      </w:r>
      <w:r w:rsidR="00A54F23" w:rsidRPr="00E37F1D">
        <w:rPr>
          <w:rFonts w:ascii="Arial" w:hAnsi="Arial" w:cs="Arial"/>
          <w:sz w:val="24"/>
          <w:szCs w:val="24"/>
        </w:rPr>
        <w:t xml:space="preserve"> by caving or, in the case of some evaporite beds, solution.</w:t>
      </w:r>
    </w:p>
    <w:p w14:paraId="0C0A65BA" w14:textId="3361D702" w:rsidR="00AE0CE4" w:rsidRPr="00876689" w:rsidRDefault="008E2F94" w:rsidP="0079521E">
      <w:pPr>
        <w:jc w:val="center"/>
        <w:rPr>
          <w:rFonts w:ascii="Arial" w:hAnsi="Arial" w:cs="Arial"/>
          <w:i/>
          <w:sz w:val="24"/>
          <w:szCs w:val="24"/>
        </w:rPr>
      </w:pPr>
      <w:r w:rsidRPr="00E37F1D">
        <w:rPr>
          <w:rFonts w:ascii="Arial" w:hAnsi="Arial" w:cs="Arial"/>
          <w:sz w:val="24"/>
          <w:szCs w:val="24"/>
        </w:rPr>
        <w:br/>
      </w:r>
      <w:r w:rsidRPr="008E2F94">
        <w:rPr>
          <w:rFonts w:ascii="Arial" w:hAnsi="Arial" w:cs="Arial"/>
          <w:b/>
          <w:sz w:val="24"/>
          <w:szCs w:val="24"/>
        </w:rPr>
        <w:t>USE OF RESISTIVITY MEASUREMENTS</w:t>
      </w:r>
      <w:r>
        <w:rPr>
          <w:rFonts w:ascii="Arial" w:hAnsi="Arial" w:cs="Arial"/>
          <w:b/>
          <w:sz w:val="24"/>
          <w:szCs w:val="24"/>
        </w:rPr>
        <w:br/>
      </w:r>
      <w:r w:rsidRPr="00500E49">
        <w:rPr>
          <w:rFonts w:ascii="Arial" w:hAnsi="Arial" w:cs="Arial"/>
          <w:sz w:val="24"/>
          <w:szCs w:val="24"/>
        </w:rPr>
        <w:t>Bedded evaporite minerals are essentially nonporous o</w:t>
      </w:r>
      <w:r w:rsidR="00873025" w:rsidRPr="00500E49">
        <w:rPr>
          <w:rFonts w:ascii="Arial" w:hAnsi="Arial" w:cs="Arial"/>
          <w:sz w:val="24"/>
          <w:szCs w:val="24"/>
        </w:rPr>
        <w:t>r</w:t>
      </w:r>
      <w:r w:rsidRPr="00500E49">
        <w:rPr>
          <w:rFonts w:ascii="Arial" w:hAnsi="Arial" w:cs="Arial"/>
          <w:sz w:val="24"/>
          <w:szCs w:val="24"/>
        </w:rPr>
        <w:t xml:space="preserve"> are electrically nonconductive. Thus, they should appear infinitely resistive to the standard resistivity logging devices. However, the conductive borehole acts as a shunt for the logging current. As a result, in </w:t>
      </w:r>
      <w:proofErr w:type="spellStart"/>
      <w:r w:rsidRPr="00500E49">
        <w:rPr>
          <w:rFonts w:ascii="Arial" w:hAnsi="Arial" w:cs="Arial"/>
          <w:sz w:val="24"/>
          <w:szCs w:val="24"/>
        </w:rPr>
        <w:t>nonfocused</w:t>
      </w:r>
      <w:proofErr w:type="spellEnd"/>
      <w:r w:rsidRPr="00500E49">
        <w:rPr>
          <w:rFonts w:ascii="Arial" w:hAnsi="Arial" w:cs="Arial"/>
          <w:sz w:val="24"/>
          <w:szCs w:val="24"/>
        </w:rPr>
        <w:t xml:space="preserve"> logging, the maximum resistivity is much less than Infinity. Characteristic curve shapes, depending on the geometry of the electrode system and formation, identify these infinitely resistant beds. Figures 1 and 2 are typical cases. </w:t>
      </w:r>
      <w:r w:rsidR="002302A6" w:rsidRPr="00876689">
        <w:rPr>
          <w:i/>
          <w:noProof/>
          <w:sz w:val="24"/>
          <w:szCs w:val="24"/>
          <w:lang w:val="en-CA" w:eastAsia="en-CA"/>
        </w:rPr>
        <w:lastRenderedPageBreak/>
        <w:drawing>
          <wp:inline distT="0" distB="0" distL="0" distR="0" wp14:anchorId="774B5B15" wp14:editId="20F23C8D">
            <wp:extent cx="5723809" cy="626666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3809" cy="6266667"/>
                    </a:xfrm>
                    <a:prstGeom prst="rect">
                      <a:avLst/>
                    </a:prstGeom>
                  </pic:spPr>
                </pic:pic>
              </a:graphicData>
            </a:graphic>
          </wp:inline>
        </w:drawing>
      </w:r>
      <w:r w:rsidR="00B20303" w:rsidRPr="00876689">
        <w:rPr>
          <w:rFonts w:ascii="Arial" w:hAnsi="Arial" w:cs="Arial"/>
          <w:i/>
          <w:sz w:val="24"/>
          <w:szCs w:val="24"/>
        </w:rPr>
        <w:br/>
        <w:t xml:space="preserve">Figure </w:t>
      </w:r>
      <w:r w:rsidR="000F6CF5" w:rsidRPr="00876689">
        <w:rPr>
          <w:rFonts w:ascii="Arial" w:hAnsi="Arial" w:cs="Arial"/>
          <w:i/>
          <w:sz w:val="24"/>
          <w:szCs w:val="24"/>
        </w:rPr>
        <w:t>1</w:t>
      </w:r>
      <w:r w:rsidR="00B20303" w:rsidRPr="00876689">
        <w:rPr>
          <w:rFonts w:ascii="Arial" w:hAnsi="Arial" w:cs="Arial"/>
          <w:i/>
          <w:sz w:val="24"/>
          <w:szCs w:val="24"/>
        </w:rPr>
        <w:t>:</w:t>
      </w:r>
      <w:r w:rsidR="001B2824" w:rsidRPr="00876689">
        <w:rPr>
          <w:rFonts w:ascii="Arial" w:hAnsi="Arial" w:cs="Arial"/>
          <w:i/>
          <w:sz w:val="24"/>
          <w:szCs w:val="24"/>
        </w:rPr>
        <w:t xml:space="preserve"> </w:t>
      </w:r>
      <w:r w:rsidR="008404C7" w:rsidRPr="00876689">
        <w:rPr>
          <w:rFonts w:ascii="Arial" w:hAnsi="Arial" w:cs="Arial"/>
          <w:i/>
          <w:sz w:val="24"/>
          <w:szCs w:val="24"/>
        </w:rPr>
        <w:t xml:space="preserve">Electrical Survey through </w:t>
      </w:r>
      <w:r w:rsidR="00F745BD">
        <w:rPr>
          <w:rFonts w:ascii="Arial" w:hAnsi="Arial" w:cs="Arial"/>
          <w:i/>
          <w:sz w:val="24"/>
          <w:szCs w:val="24"/>
        </w:rPr>
        <w:t xml:space="preserve">thick </w:t>
      </w:r>
      <w:r w:rsidR="008404C7" w:rsidRPr="00876689">
        <w:rPr>
          <w:rFonts w:ascii="Arial" w:hAnsi="Arial" w:cs="Arial"/>
          <w:i/>
          <w:sz w:val="24"/>
          <w:szCs w:val="24"/>
        </w:rPr>
        <w:t>salt bed.</w:t>
      </w:r>
    </w:p>
    <w:p w14:paraId="27C26B15" w14:textId="77777777" w:rsidR="002302A6" w:rsidRPr="00500E49" w:rsidRDefault="002302A6">
      <w:pPr>
        <w:rPr>
          <w:rFonts w:ascii="Arial" w:hAnsi="Arial" w:cs="Arial"/>
          <w:sz w:val="24"/>
          <w:szCs w:val="24"/>
        </w:rPr>
      </w:pPr>
    </w:p>
    <w:p w14:paraId="7B16097E" w14:textId="1D276064" w:rsidR="00AE0CE4" w:rsidRPr="00876689" w:rsidRDefault="002302A6" w:rsidP="00876689">
      <w:pPr>
        <w:jc w:val="center"/>
        <w:rPr>
          <w:rFonts w:ascii="Arial" w:hAnsi="Arial" w:cs="Arial"/>
          <w:i/>
          <w:sz w:val="24"/>
          <w:szCs w:val="24"/>
        </w:rPr>
      </w:pPr>
      <w:r w:rsidRPr="00876689">
        <w:rPr>
          <w:i/>
          <w:noProof/>
          <w:sz w:val="24"/>
          <w:szCs w:val="24"/>
          <w:lang w:val="en-CA" w:eastAsia="en-CA"/>
        </w:rPr>
        <w:lastRenderedPageBreak/>
        <w:drawing>
          <wp:inline distT="0" distB="0" distL="0" distR="0" wp14:anchorId="3C156F65" wp14:editId="1D5F3831">
            <wp:extent cx="5428571" cy="5161905"/>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8571" cy="5161905"/>
                    </a:xfrm>
                    <a:prstGeom prst="rect">
                      <a:avLst/>
                    </a:prstGeom>
                  </pic:spPr>
                </pic:pic>
              </a:graphicData>
            </a:graphic>
          </wp:inline>
        </w:drawing>
      </w:r>
      <w:r w:rsidR="00B20303" w:rsidRPr="00876689">
        <w:rPr>
          <w:rFonts w:ascii="Arial" w:hAnsi="Arial" w:cs="Arial"/>
          <w:i/>
          <w:sz w:val="24"/>
          <w:szCs w:val="24"/>
        </w:rPr>
        <w:br/>
        <w:t xml:space="preserve">Figure </w:t>
      </w:r>
      <w:r w:rsidR="000F6CF5" w:rsidRPr="00876689">
        <w:rPr>
          <w:rFonts w:ascii="Arial" w:hAnsi="Arial" w:cs="Arial"/>
          <w:i/>
          <w:sz w:val="24"/>
          <w:szCs w:val="24"/>
        </w:rPr>
        <w:t>2</w:t>
      </w:r>
      <w:r w:rsidR="00B20303" w:rsidRPr="00876689">
        <w:rPr>
          <w:rFonts w:ascii="Arial" w:hAnsi="Arial" w:cs="Arial"/>
          <w:i/>
          <w:sz w:val="24"/>
          <w:szCs w:val="24"/>
        </w:rPr>
        <w:t>:</w:t>
      </w:r>
      <w:r w:rsidR="001B2824" w:rsidRPr="00876689">
        <w:rPr>
          <w:rFonts w:ascii="Arial" w:hAnsi="Arial" w:cs="Arial"/>
          <w:i/>
          <w:sz w:val="24"/>
          <w:szCs w:val="24"/>
        </w:rPr>
        <w:t xml:space="preserve"> </w:t>
      </w:r>
      <w:r w:rsidR="001B2824" w:rsidRPr="00DD010F">
        <w:rPr>
          <w:rFonts w:ascii="Arial" w:hAnsi="Arial" w:cs="Arial"/>
          <w:i/>
          <w:sz w:val="24"/>
          <w:szCs w:val="24"/>
        </w:rPr>
        <w:t>Electri</w:t>
      </w:r>
      <w:r w:rsidR="0073000E" w:rsidRPr="00DD010F">
        <w:rPr>
          <w:rFonts w:ascii="Arial" w:hAnsi="Arial" w:cs="Arial"/>
          <w:i/>
          <w:sz w:val="24"/>
          <w:szCs w:val="24"/>
        </w:rPr>
        <w:t>c</w:t>
      </w:r>
      <w:r w:rsidR="001B2824" w:rsidRPr="00DD010F">
        <w:rPr>
          <w:rFonts w:ascii="Arial" w:hAnsi="Arial" w:cs="Arial"/>
          <w:i/>
          <w:sz w:val="24"/>
          <w:szCs w:val="24"/>
        </w:rPr>
        <w:t xml:space="preserve">al </w:t>
      </w:r>
      <w:r w:rsidR="008404C7" w:rsidRPr="00876689">
        <w:rPr>
          <w:rFonts w:ascii="Arial" w:hAnsi="Arial" w:cs="Arial"/>
          <w:i/>
          <w:sz w:val="24"/>
          <w:szCs w:val="24"/>
        </w:rPr>
        <w:t>S</w:t>
      </w:r>
      <w:r w:rsidR="001B2824" w:rsidRPr="00876689">
        <w:rPr>
          <w:rFonts w:ascii="Arial" w:hAnsi="Arial" w:cs="Arial"/>
          <w:i/>
          <w:sz w:val="24"/>
          <w:szCs w:val="24"/>
        </w:rPr>
        <w:t>urvey, gamma ray, and sonic logs</w:t>
      </w:r>
      <w:r w:rsidR="008404C7" w:rsidRPr="00876689">
        <w:rPr>
          <w:rFonts w:ascii="Arial" w:hAnsi="Arial" w:cs="Arial"/>
          <w:i/>
          <w:sz w:val="24"/>
          <w:szCs w:val="24"/>
        </w:rPr>
        <w:t xml:space="preserve"> run into a salt dome.</w:t>
      </w:r>
    </w:p>
    <w:p w14:paraId="4122158C" w14:textId="1F7F5810" w:rsidR="00565AFE" w:rsidRPr="00500E49" w:rsidRDefault="00565AFE" w:rsidP="00565AFE">
      <w:pPr>
        <w:rPr>
          <w:rFonts w:ascii="Arial" w:hAnsi="Arial" w:cs="Arial"/>
          <w:sz w:val="24"/>
          <w:szCs w:val="24"/>
        </w:rPr>
      </w:pPr>
      <w:r w:rsidRPr="00500E49">
        <w:rPr>
          <w:rFonts w:ascii="Arial" w:hAnsi="Arial" w:cs="Arial"/>
          <w:sz w:val="24"/>
          <w:szCs w:val="24"/>
        </w:rPr>
        <w:t xml:space="preserve">Modern resistivity logging systems, such as the </w:t>
      </w:r>
      <w:proofErr w:type="spellStart"/>
      <w:r w:rsidRPr="00500E49">
        <w:rPr>
          <w:rFonts w:ascii="Arial" w:hAnsi="Arial" w:cs="Arial"/>
          <w:sz w:val="24"/>
          <w:szCs w:val="24"/>
        </w:rPr>
        <w:t>Laterlog</w:t>
      </w:r>
      <w:proofErr w:type="spellEnd"/>
      <w:r w:rsidRPr="00500E49">
        <w:rPr>
          <w:rFonts w:ascii="Arial" w:hAnsi="Arial" w:cs="Arial"/>
          <w:sz w:val="24"/>
          <w:szCs w:val="24"/>
        </w:rPr>
        <w:t xml:space="preserve">, produce very high resistivities opposite </w:t>
      </w:r>
      <w:r w:rsidR="007A6832" w:rsidRPr="00DD010F">
        <w:rPr>
          <w:rFonts w:ascii="Arial" w:hAnsi="Arial" w:cs="Arial"/>
          <w:sz w:val="24"/>
          <w:szCs w:val="24"/>
        </w:rPr>
        <w:t>evaporite</w:t>
      </w:r>
      <w:r w:rsidRPr="00DD010F">
        <w:rPr>
          <w:rFonts w:ascii="Arial" w:hAnsi="Arial" w:cs="Arial"/>
          <w:sz w:val="24"/>
          <w:szCs w:val="24"/>
        </w:rPr>
        <w:t xml:space="preserve"> </w:t>
      </w:r>
      <w:r w:rsidR="007A6832" w:rsidRPr="00DD010F">
        <w:rPr>
          <w:rFonts w:ascii="Arial" w:hAnsi="Arial" w:cs="Arial"/>
          <w:sz w:val="24"/>
          <w:szCs w:val="24"/>
        </w:rPr>
        <w:t>be</w:t>
      </w:r>
      <w:r w:rsidRPr="00DD010F">
        <w:rPr>
          <w:rFonts w:ascii="Arial" w:hAnsi="Arial" w:cs="Arial"/>
          <w:sz w:val="24"/>
          <w:szCs w:val="24"/>
        </w:rPr>
        <w:t>ds</w:t>
      </w:r>
      <w:r w:rsidRPr="00500E49">
        <w:rPr>
          <w:rFonts w:ascii="Arial" w:hAnsi="Arial" w:cs="Arial"/>
          <w:sz w:val="24"/>
          <w:szCs w:val="24"/>
        </w:rPr>
        <w:t xml:space="preserve">, unless the borehole is greatly enlarged. Thus, in favourable conditions, evaporites are easily delineated where the resistivity approaches Infinity. Another system, one which does not require a conductive borehole fluid, is the inductive device (IL). Figure 3 illustrates an Induction Log opposite an evaporite section (B and C), in a hole drilled with an oil base mud. </w:t>
      </w:r>
    </w:p>
    <w:p w14:paraId="53A16494" w14:textId="73621FBF" w:rsidR="00565AFE" w:rsidRPr="00500E49" w:rsidRDefault="00565AFE" w:rsidP="00565AFE">
      <w:pPr>
        <w:rPr>
          <w:rFonts w:ascii="Arial" w:hAnsi="Arial" w:cs="Arial"/>
          <w:sz w:val="24"/>
          <w:szCs w:val="24"/>
        </w:rPr>
      </w:pPr>
      <w:r w:rsidRPr="00500E49">
        <w:rPr>
          <w:rFonts w:ascii="Arial" w:hAnsi="Arial" w:cs="Arial"/>
          <w:sz w:val="24"/>
          <w:szCs w:val="24"/>
        </w:rPr>
        <w:t xml:space="preserve">A special electrode system, called the limestone lateral (Tixier, 1951), can be used to measure the average diameter of the borehole in </w:t>
      </w:r>
      <w:r w:rsidRPr="00DD010F">
        <w:rPr>
          <w:rFonts w:ascii="Arial" w:hAnsi="Arial" w:cs="Arial"/>
          <w:sz w:val="24"/>
          <w:szCs w:val="24"/>
        </w:rPr>
        <w:t>nonconductive</w:t>
      </w:r>
      <w:r w:rsidRPr="00500E49">
        <w:rPr>
          <w:rFonts w:ascii="Arial" w:hAnsi="Arial" w:cs="Arial"/>
          <w:sz w:val="24"/>
          <w:szCs w:val="24"/>
        </w:rPr>
        <w:t xml:space="preserve"> formations. This is demonstrated by Figure 4. The response chart is derived from a standard resistivity departure curves (Schlumberger, 1955) for a 32 inch lateral device. For investigation of larger holes, the spacing can be increased. For example, if the spacing were doubled, the hole diameter scale would be doubled. The accompanying log shows application of this chart and a comparison with a mechanically actuated caliper (Section Gauge). As </w:t>
      </w:r>
      <w:r w:rsidRPr="00500E49">
        <w:rPr>
          <w:rFonts w:ascii="Arial" w:hAnsi="Arial" w:cs="Arial"/>
          <w:sz w:val="24"/>
          <w:szCs w:val="24"/>
        </w:rPr>
        <w:lastRenderedPageBreak/>
        <w:t>long as the formation is nonconductive, like salt or anhydrite, the limestone lateral curve provides an excellent caliper.</w:t>
      </w:r>
    </w:p>
    <w:p w14:paraId="15340957" w14:textId="7CAF8445" w:rsidR="00565AFE" w:rsidRPr="00500E49" w:rsidRDefault="00565AFE" w:rsidP="000877A6">
      <w:pPr>
        <w:rPr>
          <w:rFonts w:ascii="Arial" w:hAnsi="Arial" w:cs="Arial"/>
          <w:sz w:val="24"/>
          <w:szCs w:val="24"/>
        </w:rPr>
      </w:pPr>
      <w:r w:rsidRPr="00500E49">
        <w:rPr>
          <w:rFonts w:ascii="Arial" w:hAnsi="Arial" w:cs="Arial"/>
          <w:sz w:val="24"/>
          <w:szCs w:val="24"/>
        </w:rPr>
        <w:t>Since evaporite beds are more resistive than surrounding sedimentary b</w:t>
      </w:r>
      <w:r w:rsidR="000877A6" w:rsidRPr="00500E49">
        <w:rPr>
          <w:rFonts w:ascii="Arial" w:hAnsi="Arial" w:cs="Arial"/>
          <w:sz w:val="24"/>
          <w:szCs w:val="24"/>
        </w:rPr>
        <w:t>e</w:t>
      </w:r>
      <w:r w:rsidRPr="00500E49">
        <w:rPr>
          <w:rFonts w:ascii="Arial" w:hAnsi="Arial" w:cs="Arial"/>
          <w:sz w:val="24"/>
          <w:szCs w:val="24"/>
        </w:rPr>
        <w:t xml:space="preserve">ds, they are easily located by resistivity logs. However, definition of the mineral content requires additional logs. </w:t>
      </w:r>
    </w:p>
    <w:p w14:paraId="50899D4B" w14:textId="7BED54FD" w:rsidR="00AE0CE4" w:rsidRPr="00876689" w:rsidRDefault="002302A6" w:rsidP="00876689">
      <w:pPr>
        <w:jc w:val="center"/>
        <w:rPr>
          <w:rFonts w:ascii="Arial" w:hAnsi="Arial" w:cs="Arial"/>
          <w:i/>
          <w:sz w:val="24"/>
          <w:szCs w:val="24"/>
        </w:rPr>
      </w:pPr>
      <w:r w:rsidRPr="00876689">
        <w:rPr>
          <w:i/>
          <w:noProof/>
          <w:sz w:val="24"/>
          <w:szCs w:val="24"/>
          <w:lang w:val="en-CA" w:eastAsia="en-CA"/>
        </w:rPr>
        <w:drawing>
          <wp:inline distT="0" distB="0" distL="0" distR="0" wp14:anchorId="058BEB2E" wp14:editId="63C9ED25">
            <wp:extent cx="3942857" cy="606666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2857" cy="6066667"/>
                    </a:xfrm>
                    <a:prstGeom prst="rect">
                      <a:avLst/>
                    </a:prstGeom>
                  </pic:spPr>
                </pic:pic>
              </a:graphicData>
            </a:graphic>
          </wp:inline>
        </w:drawing>
      </w:r>
      <w:r w:rsidR="00B20303" w:rsidRPr="00876689">
        <w:rPr>
          <w:rFonts w:ascii="Arial" w:hAnsi="Arial" w:cs="Arial"/>
          <w:i/>
          <w:sz w:val="24"/>
          <w:szCs w:val="24"/>
        </w:rPr>
        <w:br/>
        <w:t xml:space="preserve">Figure </w:t>
      </w:r>
      <w:r w:rsidR="000F6CF5" w:rsidRPr="00876689">
        <w:rPr>
          <w:rFonts w:ascii="Arial" w:hAnsi="Arial" w:cs="Arial"/>
          <w:i/>
          <w:sz w:val="24"/>
          <w:szCs w:val="24"/>
        </w:rPr>
        <w:t>3</w:t>
      </w:r>
      <w:r w:rsidR="00B20303" w:rsidRPr="00876689">
        <w:rPr>
          <w:rFonts w:ascii="Arial" w:hAnsi="Arial" w:cs="Arial"/>
          <w:i/>
          <w:sz w:val="24"/>
          <w:szCs w:val="24"/>
        </w:rPr>
        <w:t>:</w:t>
      </w:r>
      <w:r w:rsidR="001B2824" w:rsidRPr="00876689">
        <w:rPr>
          <w:rFonts w:ascii="Arial" w:hAnsi="Arial" w:cs="Arial"/>
          <w:i/>
          <w:sz w:val="24"/>
          <w:szCs w:val="24"/>
        </w:rPr>
        <w:t xml:space="preserve"> Induction log in </w:t>
      </w:r>
      <w:r w:rsidR="001B2824" w:rsidRPr="00DD010F">
        <w:rPr>
          <w:rFonts w:ascii="Arial" w:hAnsi="Arial" w:cs="Arial"/>
          <w:i/>
          <w:sz w:val="24"/>
          <w:szCs w:val="24"/>
        </w:rPr>
        <w:t>n</w:t>
      </w:r>
      <w:r w:rsidR="007A6832" w:rsidRPr="00DD010F">
        <w:rPr>
          <w:rFonts w:ascii="Arial" w:hAnsi="Arial" w:cs="Arial"/>
          <w:i/>
          <w:sz w:val="24"/>
          <w:szCs w:val="24"/>
        </w:rPr>
        <w:t>o</w:t>
      </w:r>
      <w:r w:rsidR="001B2824" w:rsidRPr="00DD010F">
        <w:rPr>
          <w:rFonts w:ascii="Arial" w:hAnsi="Arial" w:cs="Arial"/>
          <w:i/>
          <w:sz w:val="24"/>
          <w:szCs w:val="24"/>
        </w:rPr>
        <w:t>nconductive</w:t>
      </w:r>
      <w:r w:rsidR="001B2824" w:rsidRPr="007A6832">
        <w:rPr>
          <w:rFonts w:ascii="Arial" w:hAnsi="Arial" w:cs="Arial"/>
          <w:i/>
          <w:color w:val="FF0000"/>
          <w:sz w:val="24"/>
          <w:szCs w:val="24"/>
        </w:rPr>
        <w:t xml:space="preserve"> </w:t>
      </w:r>
      <w:r w:rsidR="001B2824" w:rsidRPr="00876689">
        <w:rPr>
          <w:rFonts w:ascii="Arial" w:hAnsi="Arial" w:cs="Arial"/>
          <w:i/>
          <w:sz w:val="24"/>
          <w:szCs w:val="24"/>
        </w:rPr>
        <w:t>mud.</w:t>
      </w:r>
    </w:p>
    <w:p w14:paraId="607AB197" w14:textId="5DFBC6B8" w:rsidR="002302A6" w:rsidRPr="00500E49" w:rsidRDefault="002302A6">
      <w:pPr>
        <w:rPr>
          <w:rFonts w:ascii="Arial" w:hAnsi="Arial" w:cs="Arial"/>
          <w:sz w:val="24"/>
          <w:szCs w:val="24"/>
        </w:rPr>
      </w:pPr>
    </w:p>
    <w:p w14:paraId="1F036B05" w14:textId="7FB8B0E2" w:rsidR="002302A6" w:rsidRPr="00876689" w:rsidRDefault="004F05E5" w:rsidP="00876689">
      <w:pPr>
        <w:jc w:val="center"/>
        <w:rPr>
          <w:rFonts w:ascii="Arial" w:hAnsi="Arial" w:cs="Arial"/>
          <w:i/>
          <w:sz w:val="24"/>
          <w:szCs w:val="24"/>
        </w:rPr>
      </w:pPr>
      <w:r w:rsidRPr="00876689">
        <w:rPr>
          <w:i/>
          <w:noProof/>
          <w:sz w:val="24"/>
          <w:szCs w:val="24"/>
          <w:lang w:val="en-CA" w:eastAsia="en-CA"/>
        </w:rPr>
        <w:lastRenderedPageBreak/>
        <w:drawing>
          <wp:inline distT="0" distB="0" distL="0" distR="0" wp14:anchorId="03B0B212" wp14:editId="6DE53B70">
            <wp:extent cx="5943600" cy="58013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801360"/>
                    </a:xfrm>
                    <a:prstGeom prst="rect">
                      <a:avLst/>
                    </a:prstGeom>
                  </pic:spPr>
                </pic:pic>
              </a:graphicData>
            </a:graphic>
          </wp:inline>
        </w:drawing>
      </w:r>
      <w:r w:rsidR="00B20303" w:rsidRPr="00876689">
        <w:rPr>
          <w:rFonts w:ascii="Arial" w:hAnsi="Arial" w:cs="Arial"/>
          <w:i/>
          <w:sz w:val="24"/>
          <w:szCs w:val="24"/>
        </w:rPr>
        <w:br/>
      </w:r>
      <w:r w:rsidR="000F6CF5" w:rsidRPr="00876689">
        <w:rPr>
          <w:rFonts w:ascii="Arial" w:hAnsi="Arial" w:cs="Arial"/>
          <w:i/>
          <w:sz w:val="24"/>
          <w:szCs w:val="24"/>
        </w:rPr>
        <w:t>Figure 4</w:t>
      </w:r>
      <w:r w:rsidR="001B2824" w:rsidRPr="00876689">
        <w:rPr>
          <w:rFonts w:ascii="Arial" w:hAnsi="Arial" w:cs="Arial"/>
          <w:i/>
          <w:sz w:val="24"/>
          <w:szCs w:val="24"/>
        </w:rPr>
        <w:t>: Limestone Lateral Curve</w:t>
      </w:r>
    </w:p>
    <w:p w14:paraId="79CAE9E3" w14:textId="697BF5A5" w:rsidR="00891494" w:rsidRPr="00500E49" w:rsidRDefault="0084151E">
      <w:pPr>
        <w:rPr>
          <w:rFonts w:ascii="Arial" w:hAnsi="Arial" w:cs="Arial"/>
          <w:sz w:val="24"/>
          <w:szCs w:val="24"/>
        </w:rPr>
      </w:pPr>
      <w:r w:rsidRPr="00500E49">
        <w:rPr>
          <w:rFonts w:ascii="Arial" w:hAnsi="Arial" w:cs="Arial"/>
          <w:sz w:val="24"/>
          <w:szCs w:val="24"/>
        </w:rPr>
        <w:br/>
      </w:r>
      <w:r w:rsidR="003C27A0" w:rsidRPr="00844CF3">
        <w:rPr>
          <w:rFonts w:ascii="Arial" w:hAnsi="Arial" w:cs="Arial"/>
          <w:b/>
          <w:sz w:val="24"/>
          <w:szCs w:val="24"/>
        </w:rPr>
        <w:t>USE OF ONE POROSITY LOG</w:t>
      </w:r>
      <w:r w:rsidR="00B20303" w:rsidRPr="00844CF3">
        <w:rPr>
          <w:rFonts w:ascii="Arial" w:hAnsi="Arial" w:cs="Arial"/>
          <w:b/>
          <w:sz w:val="24"/>
          <w:szCs w:val="24"/>
        </w:rPr>
        <w:br/>
      </w:r>
      <w:r w:rsidR="00891494" w:rsidRPr="00500E49">
        <w:rPr>
          <w:rFonts w:ascii="Arial" w:hAnsi="Arial" w:cs="Arial"/>
          <w:sz w:val="24"/>
          <w:szCs w:val="24"/>
        </w:rPr>
        <w:t xml:space="preserve">Sonic, density, and neutron logs are used both singly and jointly for determination of formation porosity. Thus, in the petroleum industry and throughout this paper, these logs are referred to as porosity logs. However, while each of the three reflect variations </w:t>
      </w:r>
      <w:r w:rsidRPr="00500E49">
        <w:rPr>
          <w:rFonts w:ascii="Arial" w:hAnsi="Arial" w:cs="Arial"/>
          <w:sz w:val="24"/>
          <w:szCs w:val="24"/>
        </w:rPr>
        <w:t>in</w:t>
      </w:r>
      <w:r w:rsidR="00891494" w:rsidRPr="00500E49">
        <w:rPr>
          <w:rFonts w:ascii="Arial" w:hAnsi="Arial" w:cs="Arial"/>
          <w:sz w:val="24"/>
          <w:szCs w:val="24"/>
        </w:rPr>
        <w:t xml:space="preserve"> porosity, each also responds to variations of the matrix mineral. In </w:t>
      </w:r>
      <w:r w:rsidR="00891494" w:rsidRPr="00DD010F">
        <w:rPr>
          <w:rFonts w:ascii="Arial" w:hAnsi="Arial" w:cs="Arial"/>
          <w:sz w:val="24"/>
          <w:szCs w:val="24"/>
        </w:rPr>
        <w:t>evapor</w:t>
      </w:r>
      <w:r w:rsidR="007A6832" w:rsidRPr="00DD010F">
        <w:rPr>
          <w:rFonts w:ascii="Arial" w:hAnsi="Arial" w:cs="Arial"/>
          <w:sz w:val="24"/>
          <w:szCs w:val="24"/>
        </w:rPr>
        <w:t>i</w:t>
      </w:r>
      <w:r w:rsidR="00891494" w:rsidRPr="00DD010F">
        <w:rPr>
          <w:rFonts w:ascii="Arial" w:hAnsi="Arial" w:cs="Arial"/>
          <w:sz w:val="24"/>
          <w:szCs w:val="24"/>
        </w:rPr>
        <w:t>te</w:t>
      </w:r>
      <w:r w:rsidR="00891494" w:rsidRPr="00500E49">
        <w:rPr>
          <w:rFonts w:ascii="Arial" w:hAnsi="Arial" w:cs="Arial"/>
          <w:sz w:val="24"/>
          <w:szCs w:val="24"/>
        </w:rPr>
        <w:t xml:space="preserve"> exploration there is little interest in porosity evaluation </w:t>
      </w:r>
      <w:r w:rsidRPr="00500E49">
        <w:rPr>
          <w:rFonts w:ascii="Arial" w:hAnsi="Arial" w:cs="Arial"/>
          <w:sz w:val="24"/>
          <w:szCs w:val="24"/>
        </w:rPr>
        <w:t>– m</w:t>
      </w:r>
      <w:r w:rsidR="00891494" w:rsidRPr="00500E49">
        <w:rPr>
          <w:rFonts w:ascii="Arial" w:hAnsi="Arial" w:cs="Arial"/>
          <w:sz w:val="24"/>
          <w:szCs w:val="24"/>
        </w:rPr>
        <w:t xml:space="preserve">ost </w:t>
      </w:r>
      <w:r w:rsidR="00891494" w:rsidRPr="00DD010F">
        <w:rPr>
          <w:rFonts w:ascii="Arial" w:hAnsi="Arial" w:cs="Arial"/>
          <w:sz w:val="24"/>
          <w:szCs w:val="24"/>
        </w:rPr>
        <w:t>evapor</w:t>
      </w:r>
      <w:r w:rsidR="007A6832" w:rsidRPr="00DD010F">
        <w:rPr>
          <w:rFonts w:ascii="Arial" w:hAnsi="Arial" w:cs="Arial"/>
          <w:sz w:val="24"/>
          <w:szCs w:val="24"/>
        </w:rPr>
        <w:t>i</w:t>
      </w:r>
      <w:r w:rsidR="00891494" w:rsidRPr="00DD010F">
        <w:rPr>
          <w:rFonts w:ascii="Arial" w:hAnsi="Arial" w:cs="Arial"/>
          <w:sz w:val="24"/>
          <w:szCs w:val="24"/>
        </w:rPr>
        <w:t>tes</w:t>
      </w:r>
      <w:r w:rsidR="00891494" w:rsidRPr="00500E49">
        <w:rPr>
          <w:rFonts w:ascii="Arial" w:hAnsi="Arial" w:cs="Arial"/>
          <w:sz w:val="24"/>
          <w:szCs w:val="24"/>
        </w:rPr>
        <w:t xml:space="preserve"> have little or no porosity. Here, the primary interest is identifying the </w:t>
      </w:r>
      <w:r w:rsidR="007A6832" w:rsidRPr="00DD010F">
        <w:rPr>
          <w:rFonts w:ascii="Arial" w:hAnsi="Arial" w:cs="Arial"/>
          <w:sz w:val="24"/>
          <w:szCs w:val="24"/>
        </w:rPr>
        <w:t>evaporite</w:t>
      </w:r>
      <w:r w:rsidR="00891494" w:rsidRPr="00500E49">
        <w:rPr>
          <w:rFonts w:ascii="Arial" w:hAnsi="Arial" w:cs="Arial"/>
          <w:sz w:val="24"/>
          <w:szCs w:val="24"/>
        </w:rPr>
        <w:t xml:space="preserve"> through characteristic responses on one or more of the porosity logs.</w:t>
      </w:r>
    </w:p>
    <w:p w14:paraId="5A16B170" w14:textId="5AE257EF" w:rsidR="00891494" w:rsidRPr="00500E49" w:rsidRDefault="00891494">
      <w:pPr>
        <w:rPr>
          <w:rFonts w:ascii="Arial" w:hAnsi="Arial" w:cs="Arial"/>
          <w:sz w:val="24"/>
          <w:szCs w:val="24"/>
        </w:rPr>
      </w:pPr>
      <w:r w:rsidRPr="00500E49">
        <w:rPr>
          <w:rFonts w:ascii="Arial" w:hAnsi="Arial" w:cs="Arial"/>
          <w:sz w:val="24"/>
          <w:szCs w:val="24"/>
        </w:rPr>
        <w:lastRenderedPageBreak/>
        <w:t xml:space="preserve">When nonporous </w:t>
      </w:r>
      <w:r w:rsidR="007A6832" w:rsidRPr="00DD010F">
        <w:rPr>
          <w:rFonts w:ascii="Arial" w:hAnsi="Arial" w:cs="Arial"/>
          <w:sz w:val="24"/>
          <w:szCs w:val="24"/>
        </w:rPr>
        <w:t>evaporite</w:t>
      </w:r>
      <w:r w:rsidRPr="00500E49">
        <w:rPr>
          <w:rFonts w:ascii="Arial" w:hAnsi="Arial" w:cs="Arial"/>
          <w:sz w:val="24"/>
          <w:szCs w:val="24"/>
        </w:rPr>
        <w:t xml:space="preserve"> deposits occur in isolated beds of a single mineral, identification is often simple. Identification is achieved by comparing the log values to the data shown in Table 1.  To illustrate, the three different porosity logs are shown, each being the actual recording over </w:t>
      </w:r>
      <w:r w:rsidR="007A6832" w:rsidRPr="00DD010F">
        <w:rPr>
          <w:rFonts w:ascii="Arial" w:hAnsi="Arial" w:cs="Arial"/>
          <w:sz w:val="24"/>
          <w:szCs w:val="24"/>
        </w:rPr>
        <w:t>an</w:t>
      </w:r>
      <w:r w:rsidRPr="00DD010F">
        <w:rPr>
          <w:rFonts w:ascii="Arial" w:hAnsi="Arial" w:cs="Arial"/>
          <w:sz w:val="24"/>
          <w:szCs w:val="24"/>
        </w:rPr>
        <w:t xml:space="preserve"> </w:t>
      </w:r>
      <w:r w:rsidR="007A6832" w:rsidRPr="00DD010F">
        <w:rPr>
          <w:rFonts w:ascii="Arial" w:hAnsi="Arial" w:cs="Arial"/>
          <w:sz w:val="24"/>
          <w:szCs w:val="24"/>
        </w:rPr>
        <w:t>evaporite</w:t>
      </w:r>
      <w:r w:rsidRPr="00DD010F">
        <w:rPr>
          <w:rFonts w:ascii="Arial" w:hAnsi="Arial" w:cs="Arial"/>
          <w:sz w:val="24"/>
          <w:szCs w:val="24"/>
        </w:rPr>
        <w:t xml:space="preserve"> </w:t>
      </w:r>
      <w:r w:rsidRPr="00500E49">
        <w:rPr>
          <w:rFonts w:ascii="Arial" w:hAnsi="Arial" w:cs="Arial"/>
          <w:sz w:val="24"/>
          <w:szCs w:val="24"/>
        </w:rPr>
        <w:t>interval from a Permian basin well.</w:t>
      </w:r>
    </w:p>
    <w:p w14:paraId="7BB8368C" w14:textId="77777777" w:rsidR="00A601D1" w:rsidRPr="00876689" w:rsidRDefault="00A601D1" w:rsidP="0079521E">
      <w:pPr>
        <w:jc w:val="center"/>
        <w:rPr>
          <w:rFonts w:ascii="Arial" w:hAnsi="Arial" w:cs="Arial"/>
          <w:i/>
          <w:sz w:val="24"/>
          <w:szCs w:val="24"/>
        </w:rPr>
      </w:pPr>
      <w:r w:rsidRPr="00500E49">
        <w:rPr>
          <w:noProof/>
          <w:sz w:val="24"/>
          <w:szCs w:val="24"/>
          <w:lang w:val="en-CA" w:eastAsia="en-CA"/>
        </w:rPr>
        <w:drawing>
          <wp:inline distT="0" distB="0" distL="0" distR="0" wp14:anchorId="75826C3B" wp14:editId="277F118A">
            <wp:extent cx="5943600" cy="375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59200"/>
                    </a:xfrm>
                    <a:prstGeom prst="rect">
                      <a:avLst/>
                    </a:prstGeom>
                  </pic:spPr>
                </pic:pic>
              </a:graphicData>
            </a:graphic>
          </wp:inline>
        </w:drawing>
      </w:r>
      <w:r w:rsidRPr="00500E49">
        <w:rPr>
          <w:rFonts w:ascii="Arial" w:hAnsi="Arial" w:cs="Arial"/>
          <w:sz w:val="24"/>
          <w:szCs w:val="24"/>
        </w:rPr>
        <w:br/>
      </w:r>
      <w:r w:rsidRPr="0079521E">
        <w:rPr>
          <w:rFonts w:ascii="Arial" w:hAnsi="Arial" w:cs="Arial"/>
          <w:bCs/>
          <w:i/>
          <w:sz w:val="24"/>
          <w:szCs w:val="24"/>
        </w:rPr>
        <w:t>Table 1:</w:t>
      </w:r>
      <w:r w:rsidRPr="00876689">
        <w:rPr>
          <w:rFonts w:ascii="Arial" w:hAnsi="Arial" w:cs="Arial"/>
          <w:b/>
          <w:i/>
          <w:sz w:val="24"/>
          <w:szCs w:val="24"/>
        </w:rPr>
        <w:t xml:space="preserve"> </w:t>
      </w:r>
      <w:r w:rsidRPr="00876689">
        <w:rPr>
          <w:rFonts w:ascii="Arial" w:hAnsi="Arial" w:cs="Arial"/>
          <w:i/>
          <w:sz w:val="24"/>
          <w:szCs w:val="24"/>
        </w:rPr>
        <w:t>Physical properties of Evaporite Minerals.</w:t>
      </w:r>
    </w:p>
    <w:p w14:paraId="2624E161" w14:textId="71AD14E6" w:rsidR="00891494" w:rsidRPr="00500E49" w:rsidRDefault="00891494">
      <w:pPr>
        <w:rPr>
          <w:rFonts w:ascii="Arial" w:hAnsi="Arial" w:cs="Arial"/>
          <w:sz w:val="24"/>
          <w:szCs w:val="24"/>
        </w:rPr>
      </w:pPr>
      <w:r w:rsidRPr="00500E49">
        <w:rPr>
          <w:rFonts w:ascii="Arial" w:hAnsi="Arial" w:cs="Arial"/>
          <w:sz w:val="24"/>
          <w:szCs w:val="24"/>
        </w:rPr>
        <w:t xml:space="preserve">Figure 5 shows the Gamma Ray-Neutron log, for many years the standard correlation log in this region. The gamma </w:t>
      </w:r>
      <w:r w:rsidR="00A601D1" w:rsidRPr="00500E49">
        <w:rPr>
          <w:rFonts w:ascii="Arial" w:hAnsi="Arial" w:cs="Arial"/>
          <w:sz w:val="24"/>
          <w:szCs w:val="24"/>
        </w:rPr>
        <w:t>r</w:t>
      </w:r>
      <w:r w:rsidRPr="00500E49">
        <w:rPr>
          <w:rFonts w:ascii="Arial" w:hAnsi="Arial" w:cs="Arial"/>
          <w:sz w:val="24"/>
          <w:szCs w:val="24"/>
        </w:rPr>
        <w:t xml:space="preserve">ay deflections to the right indicates </w:t>
      </w:r>
      <w:r w:rsidRPr="00DD010F">
        <w:rPr>
          <w:rFonts w:ascii="Arial" w:hAnsi="Arial" w:cs="Arial"/>
          <w:sz w:val="24"/>
          <w:szCs w:val="24"/>
        </w:rPr>
        <w:t>sh</w:t>
      </w:r>
      <w:r w:rsidR="007A6832" w:rsidRPr="00DD010F">
        <w:rPr>
          <w:rFonts w:ascii="Arial" w:hAnsi="Arial" w:cs="Arial"/>
          <w:sz w:val="24"/>
          <w:szCs w:val="24"/>
        </w:rPr>
        <w:t>ale</w:t>
      </w:r>
      <w:r w:rsidRPr="00500E49">
        <w:rPr>
          <w:rFonts w:ascii="Arial" w:hAnsi="Arial" w:cs="Arial"/>
          <w:sz w:val="24"/>
          <w:szCs w:val="24"/>
        </w:rPr>
        <w:t xml:space="preserve"> streaks. Shal</w:t>
      </w:r>
      <w:r w:rsidR="00A601D1" w:rsidRPr="00500E49">
        <w:rPr>
          <w:rFonts w:ascii="Arial" w:hAnsi="Arial" w:cs="Arial"/>
          <w:sz w:val="24"/>
          <w:szCs w:val="24"/>
        </w:rPr>
        <w:t>e</w:t>
      </w:r>
      <w:r w:rsidRPr="00500E49">
        <w:rPr>
          <w:rFonts w:ascii="Arial" w:hAnsi="Arial" w:cs="Arial"/>
          <w:sz w:val="24"/>
          <w:szCs w:val="24"/>
        </w:rPr>
        <w:t xml:space="preserve"> also affects the neutron log, producing deflections to the left. Besides shale, both halite and anhydrite are present, but cannot be distinguished from each other. </w:t>
      </w:r>
    </w:p>
    <w:p w14:paraId="4EA32611" w14:textId="1FB483EA" w:rsidR="00AE0CE4" w:rsidRPr="00876689" w:rsidRDefault="00891494" w:rsidP="000222A6">
      <w:pPr>
        <w:rPr>
          <w:rFonts w:ascii="Arial" w:hAnsi="Arial" w:cs="Arial"/>
          <w:i/>
          <w:sz w:val="24"/>
          <w:szCs w:val="24"/>
        </w:rPr>
      </w:pPr>
      <w:r w:rsidRPr="00500E49">
        <w:rPr>
          <w:rFonts w:ascii="Arial" w:hAnsi="Arial" w:cs="Arial"/>
          <w:sz w:val="24"/>
          <w:szCs w:val="24"/>
        </w:rPr>
        <w:t>Figure 6 shows the Gamma Ray, caliper, and bulk density curves. Hole enlargements caused by solution of the halite show on the caliper curve. But these salt zones are much more clearly identified by the value of bulk density, which should be 2.03 for pure halite. Beds in which bulk density approaches 2.98 are evidently anhydrite. Values of approximately 2.4 generally correspond to sh</w:t>
      </w:r>
      <w:r w:rsidR="00576388" w:rsidRPr="00500E49">
        <w:rPr>
          <w:rFonts w:ascii="Arial" w:hAnsi="Arial" w:cs="Arial"/>
          <w:sz w:val="24"/>
          <w:szCs w:val="24"/>
        </w:rPr>
        <w:t>ale</w:t>
      </w:r>
      <w:r w:rsidRPr="00500E49">
        <w:rPr>
          <w:rFonts w:ascii="Arial" w:hAnsi="Arial" w:cs="Arial"/>
          <w:sz w:val="24"/>
          <w:szCs w:val="24"/>
        </w:rPr>
        <w:t xml:space="preserve">, as is verified by the </w:t>
      </w:r>
      <w:r w:rsidR="00576388" w:rsidRPr="00500E49">
        <w:rPr>
          <w:rFonts w:ascii="Arial" w:hAnsi="Arial" w:cs="Arial"/>
          <w:sz w:val="24"/>
          <w:szCs w:val="24"/>
        </w:rPr>
        <w:t>G</w:t>
      </w:r>
      <w:r w:rsidRPr="00500E49">
        <w:rPr>
          <w:rFonts w:ascii="Arial" w:hAnsi="Arial" w:cs="Arial"/>
          <w:sz w:val="24"/>
          <w:szCs w:val="24"/>
        </w:rPr>
        <w:t xml:space="preserve">amma Ray. </w:t>
      </w:r>
      <w:r w:rsidR="00A601D1" w:rsidRPr="00500E49">
        <w:rPr>
          <w:rFonts w:ascii="Arial" w:hAnsi="Arial" w:cs="Arial"/>
          <w:sz w:val="24"/>
          <w:szCs w:val="24"/>
        </w:rPr>
        <w:br/>
      </w:r>
    </w:p>
    <w:p w14:paraId="446629D3" w14:textId="73422CD5" w:rsidR="00AE0CE4" w:rsidRPr="00876689" w:rsidRDefault="00576388" w:rsidP="00876689">
      <w:pPr>
        <w:jc w:val="center"/>
        <w:rPr>
          <w:rFonts w:ascii="Arial" w:hAnsi="Arial" w:cs="Arial"/>
          <w:i/>
          <w:sz w:val="24"/>
          <w:szCs w:val="24"/>
        </w:rPr>
      </w:pPr>
      <w:r w:rsidRPr="00876689">
        <w:rPr>
          <w:i/>
          <w:noProof/>
          <w:sz w:val="24"/>
          <w:szCs w:val="24"/>
          <w:lang w:val="en-CA" w:eastAsia="en-CA"/>
        </w:rPr>
        <w:lastRenderedPageBreak/>
        <w:drawing>
          <wp:inline distT="0" distB="0" distL="0" distR="0" wp14:anchorId="32D47BB6" wp14:editId="1C9AD39B">
            <wp:extent cx="3095238" cy="342857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95238" cy="3428571"/>
                    </a:xfrm>
                    <a:prstGeom prst="rect">
                      <a:avLst/>
                    </a:prstGeom>
                  </pic:spPr>
                </pic:pic>
              </a:graphicData>
            </a:graphic>
          </wp:inline>
        </w:drawing>
      </w:r>
      <w:r w:rsidR="000F6CF5" w:rsidRPr="00876689">
        <w:rPr>
          <w:rFonts w:ascii="Arial" w:hAnsi="Arial" w:cs="Arial"/>
          <w:i/>
          <w:sz w:val="24"/>
          <w:szCs w:val="24"/>
        </w:rPr>
        <w:br/>
        <w:t>Figure 5</w:t>
      </w:r>
      <w:r w:rsidR="00976BA5" w:rsidRPr="00876689">
        <w:rPr>
          <w:rFonts w:ascii="Arial" w:hAnsi="Arial" w:cs="Arial"/>
          <w:i/>
          <w:sz w:val="24"/>
          <w:szCs w:val="24"/>
        </w:rPr>
        <w:t>: Gamma ray and neutron logs in halite and anhydrite, with shale beds</w:t>
      </w:r>
    </w:p>
    <w:p w14:paraId="4E6D676B" w14:textId="4CBEEC60" w:rsidR="00876689" w:rsidRDefault="0085511E" w:rsidP="00876689">
      <w:pPr>
        <w:jc w:val="center"/>
        <w:rPr>
          <w:rFonts w:ascii="Arial" w:hAnsi="Arial" w:cs="Arial"/>
          <w:sz w:val="24"/>
          <w:szCs w:val="24"/>
        </w:rPr>
      </w:pPr>
      <w:r w:rsidRPr="00876689">
        <w:rPr>
          <w:i/>
          <w:noProof/>
          <w:sz w:val="24"/>
          <w:szCs w:val="24"/>
          <w:lang w:val="en-CA" w:eastAsia="en-CA"/>
        </w:rPr>
        <w:drawing>
          <wp:inline distT="0" distB="0" distL="0" distR="0" wp14:anchorId="69F6B40C" wp14:editId="38661B6F">
            <wp:extent cx="3533333" cy="379047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3333" cy="3790476"/>
                    </a:xfrm>
                    <a:prstGeom prst="rect">
                      <a:avLst/>
                    </a:prstGeom>
                  </pic:spPr>
                </pic:pic>
              </a:graphicData>
            </a:graphic>
          </wp:inline>
        </w:drawing>
      </w:r>
      <w:r w:rsidRPr="00876689">
        <w:rPr>
          <w:rFonts w:ascii="Arial" w:hAnsi="Arial" w:cs="Arial"/>
          <w:i/>
          <w:sz w:val="24"/>
          <w:szCs w:val="24"/>
        </w:rPr>
        <w:br/>
        <w:t>Figure 6: Formation density log with gamma ray and caliper recorded through shale and evaporite section (same intervals as in Figure 5).</w:t>
      </w:r>
    </w:p>
    <w:p w14:paraId="6F4CA22E" w14:textId="5625628A" w:rsidR="0085511E" w:rsidRPr="00500E49" w:rsidRDefault="0085511E" w:rsidP="0085511E">
      <w:pPr>
        <w:rPr>
          <w:rFonts w:ascii="Arial" w:hAnsi="Arial" w:cs="Arial"/>
          <w:sz w:val="24"/>
          <w:szCs w:val="24"/>
        </w:rPr>
      </w:pPr>
      <w:r w:rsidRPr="00500E49">
        <w:rPr>
          <w:rFonts w:ascii="Arial" w:hAnsi="Arial" w:cs="Arial"/>
          <w:sz w:val="24"/>
          <w:szCs w:val="24"/>
        </w:rPr>
        <w:lastRenderedPageBreak/>
        <w:t xml:space="preserve">Halite beds identified by density of 2.03 and by enlarged hole on caliper. Anhydrite beds characterized by high bulk density, approaching 2.98. </w:t>
      </w:r>
    </w:p>
    <w:p w14:paraId="44506CF5" w14:textId="77777777" w:rsidR="0085511E" w:rsidRPr="00500E49" w:rsidRDefault="000F6CF5">
      <w:pPr>
        <w:rPr>
          <w:rFonts w:ascii="Arial" w:hAnsi="Arial" w:cs="Arial"/>
          <w:sz w:val="24"/>
          <w:szCs w:val="24"/>
        </w:rPr>
      </w:pPr>
      <w:r w:rsidRPr="00500E49">
        <w:rPr>
          <w:rFonts w:ascii="Arial" w:hAnsi="Arial" w:cs="Arial"/>
          <w:sz w:val="24"/>
          <w:szCs w:val="24"/>
        </w:rPr>
        <w:br/>
      </w:r>
      <w:r w:rsidRPr="00500E49">
        <w:rPr>
          <w:rFonts w:ascii="Arial" w:hAnsi="Arial" w:cs="Arial"/>
          <w:sz w:val="24"/>
          <w:szCs w:val="24"/>
        </w:rPr>
        <w:br/>
      </w:r>
    </w:p>
    <w:p w14:paraId="22D41C11" w14:textId="33142DE1" w:rsidR="00576388" w:rsidRPr="00500E49" w:rsidRDefault="00576388">
      <w:pPr>
        <w:rPr>
          <w:rFonts w:ascii="Arial" w:hAnsi="Arial" w:cs="Arial"/>
          <w:sz w:val="24"/>
          <w:szCs w:val="24"/>
        </w:rPr>
      </w:pPr>
      <w:r w:rsidRPr="00500E49">
        <w:rPr>
          <w:rFonts w:ascii="Arial" w:hAnsi="Arial" w:cs="Arial"/>
          <w:sz w:val="24"/>
          <w:szCs w:val="24"/>
        </w:rPr>
        <w:t xml:space="preserve">Figure 7 presents a BHC </w:t>
      </w:r>
      <w:r w:rsidR="0085511E" w:rsidRPr="00500E49">
        <w:rPr>
          <w:rFonts w:ascii="Arial" w:hAnsi="Arial" w:cs="Arial"/>
          <w:sz w:val="24"/>
          <w:szCs w:val="24"/>
        </w:rPr>
        <w:t>s</w:t>
      </w:r>
      <w:r w:rsidRPr="00500E49">
        <w:rPr>
          <w:rFonts w:ascii="Arial" w:hAnsi="Arial" w:cs="Arial"/>
          <w:sz w:val="24"/>
          <w:szCs w:val="24"/>
        </w:rPr>
        <w:t xml:space="preserve">onic log, which also includes </w:t>
      </w:r>
      <w:r w:rsidR="0085511E" w:rsidRPr="00500E49">
        <w:rPr>
          <w:rFonts w:ascii="Arial" w:hAnsi="Arial" w:cs="Arial"/>
          <w:sz w:val="24"/>
          <w:szCs w:val="24"/>
        </w:rPr>
        <w:t>g</w:t>
      </w:r>
      <w:r w:rsidRPr="00500E49">
        <w:rPr>
          <w:rFonts w:ascii="Arial" w:hAnsi="Arial" w:cs="Arial"/>
          <w:sz w:val="24"/>
          <w:szCs w:val="24"/>
        </w:rPr>
        <w:t xml:space="preserve">amma </w:t>
      </w:r>
      <w:r w:rsidR="0085511E" w:rsidRPr="00500E49">
        <w:rPr>
          <w:rFonts w:ascii="Arial" w:hAnsi="Arial" w:cs="Arial"/>
          <w:sz w:val="24"/>
          <w:szCs w:val="24"/>
        </w:rPr>
        <w:t>r</w:t>
      </w:r>
      <w:r w:rsidRPr="00500E49">
        <w:rPr>
          <w:rFonts w:ascii="Arial" w:hAnsi="Arial" w:cs="Arial"/>
          <w:sz w:val="24"/>
          <w:szCs w:val="24"/>
        </w:rPr>
        <w:t xml:space="preserve">ay </w:t>
      </w:r>
      <w:r w:rsidR="007A6832" w:rsidRPr="00DD010F">
        <w:rPr>
          <w:rFonts w:ascii="Arial" w:hAnsi="Arial" w:cs="Arial"/>
          <w:sz w:val="24"/>
          <w:szCs w:val="24"/>
        </w:rPr>
        <w:t>and</w:t>
      </w:r>
      <w:r w:rsidRPr="00500E49">
        <w:rPr>
          <w:rFonts w:ascii="Arial" w:hAnsi="Arial" w:cs="Arial"/>
          <w:sz w:val="24"/>
          <w:szCs w:val="24"/>
        </w:rPr>
        <w:t xml:space="preserve"> caliper curves recorded simultaneously. The BHC (Kokesh, Schwartz, Wall, and Morris, 1965) tool compensates for a changing borehole diameter, a problem with older Sonic logs. The interval transit times (</w:t>
      </w:r>
      <w:r w:rsidRPr="00500E49">
        <w:rPr>
          <w:rFonts w:ascii="Arial" w:hAnsi="Arial" w:cs="Arial"/>
          <w:sz w:val="24"/>
          <w:szCs w:val="24"/>
        </w:rPr>
        <w:sym w:font="Wingdings 3" w:char="F072"/>
      </w:r>
      <w:r w:rsidRPr="00500E49">
        <w:rPr>
          <w:rFonts w:ascii="Arial" w:hAnsi="Arial" w:cs="Arial"/>
          <w:sz w:val="24"/>
          <w:szCs w:val="24"/>
        </w:rPr>
        <w:t xml:space="preserve"> t) shown in Table 1 for halite and anhydrite are 67 and 50, respectively. These beds are thus easily identified by this log. Shale streaks give higher </w:t>
      </w:r>
      <w:r w:rsidRPr="00500E49">
        <w:rPr>
          <w:rFonts w:ascii="Arial" w:hAnsi="Arial" w:cs="Arial"/>
          <w:sz w:val="24"/>
          <w:szCs w:val="24"/>
        </w:rPr>
        <w:sym w:font="Wingdings 3" w:char="F072"/>
      </w:r>
      <w:r w:rsidRPr="00500E49">
        <w:rPr>
          <w:rFonts w:ascii="Arial" w:hAnsi="Arial" w:cs="Arial"/>
          <w:sz w:val="24"/>
          <w:szCs w:val="24"/>
        </w:rPr>
        <w:t xml:space="preserve"> t values, between 75 and 85 sec/foot. </w:t>
      </w:r>
    </w:p>
    <w:p w14:paraId="3012E08B" w14:textId="14AECC00" w:rsidR="00576388" w:rsidRPr="00E07FEE" w:rsidRDefault="00576388" w:rsidP="000222A6">
      <w:pPr>
        <w:rPr>
          <w:rFonts w:ascii="Arial" w:hAnsi="Arial" w:cs="Arial"/>
          <w:i/>
          <w:sz w:val="24"/>
          <w:szCs w:val="24"/>
        </w:rPr>
      </w:pPr>
      <w:r w:rsidRPr="00500E49">
        <w:rPr>
          <w:rFonts w:ascii="Arial" w:hAnsi="Arial" w:cs="Arial"/>
          <w:sz w:val="24"/>
          <w:szCs w:val="24"/>
        </w:rPr>
        <w:t xml:space="preserve">For the interval just studied, the BHC </w:t>
      </w:r>
      <w:r w:rsidR="0085511E" w:rsidRPr="00500E49">
        <w:rPr>
          <w:rFonts w:ascii="Arial" w:hAnsi="Arial" w:cs="Arial"/>
          <w:sz w:val="24"/>
          <w:szCs w:val="24"/>
        </w:rPr>
        <w:t>s</w:t>
      </w:r>
      <w:r w:rsidRPr="00500E49">
        <w:rPr>
          <w:rFonts w:ascii="Arial" w:hAnsi="Arial" w:cs="Arial"/>
          <w:sz w:val="24"/>
          <w:szCs w:val="24"/>
        </w:rPr>
        <w:t>onic an</w:t>
      </w:r>
      <w:r w:rsidR="00EF6853" w:rsidRPr="00500E49">
        <w:rPr>
          <w:rFonts w:ascii="Arial" w:hAnsi="Arial" w:cs="Arial"/>
          <w:sz w:val="24"/>
          <w:szCs w:val="24"/>
        </w:rPr>
        <w:t>d</w:t>
      </w:r>
      <w:r w:rsidRPr="00500E49">
        <w:rPr>
          <w:rFonts w:ascii="Arial" w:hAnsi="Arial" w:cs="Arial"/>
          <w:sz w:val="24"/>
          <w:szCs w:val="24"/>
        </w:rPr>
        <w:t xml:space="preserve"> </w:t>
      </w:r>
      <w:r w:rsidR="0085511E" w:rsidRPr="00500E49">
        <w:rPr>
          <w:rFonts w:ascii="Arial" w:hAnsi="Arial" w:cs="Arial"/>
          <w:sz w:val="24"/>
          <w:szCs w:val="24"/>
        </w:rPr>
        <w:t>g</w:t>
      </w:r>
      <w:r w:rsidRPr="00500E49">
        <w:rPr>
          <w:rFonts w:ascii="Arial" w:hAnsi="Arial" w:cs="Arial"/>
          <w:sz w:val="24"/>
          <w:szCs w:val="24"/>
        </w:rPr>
        <w:t xml:space="preserve">amma </w:t>
      </w:r>
      <w:r w:rsidR="0085511E" w:rsidRPr="00500E49">
        <w:rPr>
          <w:rFonts w:ascii="Arial" w:hAnsi="Arial" w:cs="Arial"/>
          <w:sz w:val="24"/>
          <w:szCs w:val="24"/>
        </w:rPr>
        <w:t>r</w:t>
      </w:r>
      <w:r w:rsidRPr="00500E49">
        <w:rPr>
          <w:rFonts w:ascii="Arial" w:hAnsi="Arial" w:cs="Arial"/>
          <w:sz w:val="24"/>
          <w:szCs w:val="24"/>
        </w:rPr>
        <w:t>ay seemed to give the clearest identification of this evaporite sequence.</w:t>
      </w:r>
    </w:p>
    <w:p w14:paraId="3E91DA1F" w14:textId="10D4E8A8" w:rsidR="00AE0CE4" w:rsidRPr="0079521E" w:rsidRDefault="00EF6853" w:rsidP="00E07FEE">
      <w:pPr>
        <w:jc w:val="center"/>
        <w:rPr>
          <w:rFonts w:ascii="Arial" w:hAnsi="Arial" w:cs="Arial"/>
          <w:i/>
          <w:iCs/>
          <w:sz w:val="24"/>
          <w:szCs w:val="24"/>
        </w:rPr>
      </w:pPr>
      <w:r w:rsidRPr="00E07FEE">
        <w:rPr>
          <w:i/>
          <w:noProof/>
          <w:sz w:val="24"/>
          <w:szCs w:val="24"/>
          <w:lang w:val="en-CA" w:eastAsia="en-CA"/>
        </w:rPr>
        <w:drawing>
          <wp:inline distT="0" distB="0" distL="0" distR="0" wp14:anchorId="255C10D2" wp14:editId="57FE1038">
            <wp:extent cx="3561905" cy="3942857"/>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61905" cy="3942857"/>
                    </a:xfrm>
                    <a:prstGeom prst="rect">
                      <a:avLst/>
                    </a:prstGeom>
                  </pic:spPr>
                </pic:pic>
              </a:graphicData>
            </a:graphic>
          </wp:inline>
        </w:drawing>
      </w:r>
      <w:r w:rsidR="00BF17DD" w:rsidRPr="00E07FEE">
        <w:rPr>
          <w:rFonts w:ascii="Arial" w:hAnsi="Arial" w:cs="Arial"/>
          <w:i/>
          <w:sz w:val="24"/>
          <w:szCs w:val="24"/>
        </w:rPr>
        <w:br/>
      </w:r>
      <w:r w:rsidRPr="00E07FEE">
        <w:rPr>
          <w:rFonts w:ascii="Arial" w:hAnsi="Arial" w:cs="Arial"/>
          <w:i/>
          <w:sz w:val="24"/>
          <w:szCs w:val="24"/>
        </w:rPr>
        <w:t>Figure 7</w:t>
      </w:r>
      <w:r w:rsidR="0085511E" w:rsidRPr="00E07FEE">
        <w:rPr>
          <w:rFonts w:ascii="Arial" w:hAnsi="Arial" w:cs="Arial"/>
          <w:i/>
          <w:sz w:val="24"/>
          <w:szCs w:val="24"/>
        </w:rPr>
        <w:t>:</w:t>
      </w:r>
      <w:r w:rsidRPr="00E07FEE">
        <w:rPr>
          <w:rFonts w:ascii="Arial" w:hAnsi="Arial" w:cs="Arial"/>
          <w:i/>
          <w:sz w:val="24"/>
          <w:szCs w:val="24"/>
        </w:rPr>
        <w:t xml:space="preserve"> BHC </w:t>
      </w:r>
      <w:r w:rsidR="0085511E" w:rsidRPr="00E07FEE">
        <w:rPr>
          <w:rFonts w:ascii="Arial" w:hAnsi="Arial" w:cs="Arial"/>
          <w:i/>
          <w:sz w:val="24"/>
          <w:szCs w:val="24"/>
        </w:rPr>
        <w:t>s</w:t>
      </w:r>
      <w:r w:rsidRPr="00E07FEE">
        <w:rPr>
          <w:rFonts w:ascii="Arial" w:hAnsi="Arial" w:cs="Arial"/>
          <w:i/>
          <w:sz w:val="24"/>
          <w:szCs w:val="24"/>
        </w:rPr>
        <w:t xml:space="preserve">onic log with </w:t>
      </w:r>
      <w:r w:rsidR="0085511E" w:rsidRPr="00E07FEE">
        <w:rPr>
          <w:rFonts w:ascii="Arial" w:hAnsi="Arial" w:cs="Arial"/>
          <w:i/>
          <w:sz w:val="24"/>
          <w:szCs w:val="24"/>
        </w:rPr>
        <w:t>g</w:t>
      </w:r>
      <w:r w:rsidRPr="00E07FEE">
        <w:rPr>
          <w:rFonts w:ascii="Arial" w:hAnsi="Arial" w:cs="Arial"/>
          <w:i/>
          <w:sz w:val="24"/>
          <w:szCs w:val="24"/>
        </w:rPr>
        <w:t xml:space="preserve">amma </w:t>
      </w:r>
      <w:r w:rsidR="0085511E" w:rsidRPr="00E07FEE">
        <w:rPr>
          <w:rFonts w:ascii="Arial" w:hAnsi="Arial" w:cs="Arial"/>
          <w:i/>
          <w:sz w:val="24"/>
          <w:szCs w:val="24"/>
        </w:rPr>
        <w:t>r</w:t>
      </w:r>
      <w:r w:rsidRPr="00E07FEE">
        <w:rPr>
          <w:rFonts w:ascii="Arial" w:hAnsi="Arial" w:cs="Arial"/>
          <w:i/>
          <w:sz w:val="24"/>
          <w:szCs w:val="24"/>
        </w:rPr>
        <w:t>ay and caliper recorded through shale and evaporite section (interval same as in figure 5 and 6). Interval transit time is 6</w:t>
      </w:r>
      <w:r w:rsidR="009D77FC" w:rsidRPr="00E07FEE">
        <w:rPr>
          <w:rFonts w:ascii="Arial" w:hAnsi="Arial" w:cs="Arial"/>
          <w:i/>
          <w:sz w:val="24"/>
          <w:szCs w:val="24"/>
        </w:rPr>
        <w:t>7</w:t>
      </w:r>
      <w:r w:rsidRPr="00E07FEE">
        <w:rPr>
          <w:rFonts w:ascii="Arial" w:hAnsi="Arial" w:cs="Arial"/>
          <w:i/>
          <w:sz w:val="24"/>
          <w:szCs w:val="24"/>
        </w:rPr>
        <w:t xml:space="preserve"> </w:t>
      </w:r>
      <w:r w:rsidRPr="0079521E">
        <w:rPr>
          <w:rFonts w:ascii="Arial" w:hAnsi="Arial" w:cs="Arial"/>
          <w:i/>
          <w:iCs/>
          <w:sz w:val="24"/>
          <w:szCs w:val="24"/>
        </w:rPr>
        <w:t>microseconds per foot for halite; 5</w:t>
      </w:r>
      <w:r w:rsidR="009D77FC" w:rsidRPr="0079521E">
        <w:rPr>
          <w:rFonts w:ascii="Arial" w:hAnsi="Arial" w:cs="Arial"/>
          <w:i/>
          <w:iCs/>
          <w:sz w:val="24"/>
          <w:szCs w:val="24"/>
        </w:rPr>
        <w:t>0 for</w:t>
      </w:r>
      <w:r w:rsidRPr="0079521E">
        <w:rPr>
          <w:rFonts w:ascii="Arial" w:hAnsi="Arial" w:cs="Arial"/>
          <w:i/>
          <w:iCs/>
          <w:sz w:val="24"/>
          <w:szCs w:val="24"/>
        </w:rPr>
        <w:t xml:space="preserve"> anhydrite</w:t>
      </w:r>
      <w:r w:rsidR="0085511E" w:rsidRPr="0079521E">
        <w:rPr>
          <w:rFonts w:ascii="Arial" w:hAnsi="Arial" w:cs="Arial"/>
          <w:i/>
          <w:iCs/>
          <w:sz w:val="24"/>
          <w:szCs w:val="24"/>
        </w:rPr>
        <w:t>.</w:t>
      </w:r>
    </w:p>
    <w:p w14:paraId="4BDF41F5" w14:textId="2585B964" w:rsidR="00A622F2" w:rsidRPr="00500E49" w:rsidRDefault="00BF17DD">
      <w:pPr>
        <w:rPr>
          <w:rFonts w:ascii="Arial" w:hAnsi="Arial" w:cs="Arial"/>
          <w:sz w:val="24"/>
          <w:szCs w:val="24"/>
        </w:rPr>
      </w:pPr>
      <w:r w:rsidRPr="00500E49">
        <w:rPr>
          <w:rFonts w:ascii="Arial" w:hAnsi="Arial" w:cs="Arial"/>
          <w:sz w:val="24"/>
          <w:szCs w:val="24"/>
        </w:rPr>
        <w:br/>
      </w:r>
      <w:r w:rsidR="00A622F2" w:rsidRPr="00844CF3">
        <w:rPr>
          <w:rFonts w:ascii="Arial" w:hAnsi="Arial" w:cs="Arial"/>
          <w:b/>
          <w:sz w:val="24"/>
          <w:szCs w:val="24"/>
        </w:rPr>
        <w:t>USE OF SEVERAL POROSITY LOGS</w:t>
      </w:r>
      <w:r w:rsidRPr="00844CF3">
        <w:rPr>
          <w:rFonts w:ascii="Arial" w:hAnsi="Arial" w:cs="Arial"/>
          <w:b/>
          <w:sz w:val="24"/>
          <w:szCs w:val="24"/>
        </w:rPr>
        <w:br/>
      </w:r>
      <w:r w:rsidR="00A622F2" w:rsidRPr="00500E49">
        <w:rPr>
          <w:rFonts w:ascii="Arial" w:hAnsi="Arial" w:cs="Arial"/>
          <w:sz w:val="24"/>
          <w:szCs w:val="24"/>
        </w:rPr>
        <w:t xml:space="preserve">When </w:t>
      </w:r>
      <w:r w:rsidR="007A6832" w:rsidRPr="00DD010F">
        <w:rPr>
          <w:rFonts w:ascii="Arial" w:hAnsi="Arial" w:cs="Arial"/>
          <w:sz w:val="24"/>
          <w:szCs w:val="24"/>
        </w:rPr>
        <w:t>evaporite</w:t>
      </w:r>
      <w:r w:rsidR="00A622F2" w:rsidRPr="00500E49">
        <w:rPr>
          <w:rFonts w:ascii="Arial" w:hAnsi="Arial" w:cs="Arial"/>
          <w:sz w:val="24"/>
          <w:szCs w:val="24"/>
        </w:rPr>
        <w:t xml:space="preserve"> beds contain mixtures of minerals, when they are in intercalated with </w:t>
      </w:r>
      <w:r w:rsidR="00A622F2" w:rsidRPr="00500E49">
        <w:rPr>
          <w:rFonts w:ascii="Arial" w:hAnsi="Arial" w:cs="Arial"/>
          <w:sz w:val="24"/>
          <w:szCs w:val="24"/>
        </w:rPr>
        <w:lastRenderedPageBreak/>
        <w:t xml:space="preserve">sedimentary rocks, or when appreciable pore space is present, several porosity logs are required for mineral identification. A recent paper (Raymer and Biggs, 1963) showed that cross plots of data from pairs of porosity-sensitive tools often identify the lithology. Figures 8, 9 and 10 are from this paper, with some small modifications and additions. The zero indications represent the respective readings for the pure minerals, as listed in Table 1. Extensions to the upper right show how the presence of porosity affects the log values for specified minerals. These charts can serve several functions: one, cross-plotting data from unknown lithologies can often provide rock identification and the amount of porosity present; two, if </w:t>
      </w:r>
      <w:r w:rsidR="007A6832" w:rsidRPr="00DD010F">
        <w:rPr>
          <w:rFonts w:ascii="Arial" w:hAnsi="Arial" w:cs="Arial"/>
          <w:sz w:val="24"/>
          <w:szCs w:val="24"/>
        </w:rPr>
        <w:t>the</w:t>
      </w:r>
      <w:r w:rsidR="00A622F2" w:rsidRPr="00500E49">
        <w:rPr>
          <w:rFonts w:ascii="Arial" w:hAnsi="Arial" w:cs="Arial"/>
          <w:sz w:val="24"/>
          <w:szCs w:val="24"/>
        </w:rPr>
        <w:t xml:space="preserve"> formation contains two known minerals the plotted point also permits estimation of the proportions of these minerals; three, if the formation contains two known minerals, a glance at the series of charts enables one to pre</w:t>
      </w:r>
      <w:r w:rsidR="007A6832">
        <w:rPr>
          <w:rFonts w:ascii="Arial" w:hAnsi="Arial" w:cs="Arial"/>
          <w:sz w:val="24"/>
          <w:szCs w:val="24"/>
        </w:rPr>
        <w:t>-</w:t>
      </w:r>
      <w:r w:rsidR="00A622F2" w:rsidRPr="00500E49">
        <w:rPr>
          <w:rFonts w:ascii="Arial" w:hAnsi="Arial" w:cs="Arial"/>
          <w:sz w:val="24"/>
          <w:szCs w:val="24"/>
        </w:rPr>
        <w:t>select the pair of logs which will provide optimum resolution.</w:t>
      </w:r>
    </w:p>
    <w:p w14:paraId="40E78A7E" w14:textId="27548108" w:rsidR="00C2688A" w:rsidRPr="00500E49" w:rsidRDefault="00A622F2" w:rsidP="0056171D">
      <w:pPr>
        <w:tabs>
          <w:tab w:val="left" w:pos="3119"/>
        </w:tabs>
        <w:jc w:val="center"/>
        <w:rPr>
          <w:rFonts w:ascii="Arial" w:hAnsi="Arial" w:cs="Arial"/>
          <w:sz w:val="24"/>
          <w:szCs w:val="24"/>
        </w:rPr>
      </w:pPr>
      <w:r w:rsidRPr="00E07FEE">
        <w:rPr>
          <w:i/>
          <w:noProof/>
          <w:sz w:val="24"/>
          <w:szCs w:val="24"/>
          <w:lang w:val="en-CA" w:eastAsia="en-CA"/>
        </w:rPr>
        <w:drawing>
          <wp:inline distT="0" distB="0" distL="0" distR="0" wp14:anchorId="2A4702EF" wp14:editId="7A70971B">
            <wp:extent cx="2516638" cy="25409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16787" cy="2541064"/>
                    </a:xfrm>
                    <a:prstGeom prst="rect">
                      <a:avLst/>
                    </a:prstGeom>
                  </pic:spPr>
                </pic:pic>
              </a:graphicData>
            </a:graphic>
          </wp:inline>
        </w:drawing>
      </w:r>
      <w:r w:rsidR="00835A5A">
        <w:rPr>
          <w:rFonts w:ascii="Arial" w:hAnsi="Arial" w:cs="Arial"/>
          <w:i/>
          <w:sz w:val="24"/>
          <w:szCs w:val="24"/>
        </w:rPr>
        <w:t xml:space="preserve">  </w:t>
      </w:r>
      <w:r w:rsidR="001569A7" w:rsidRPr="00E07FEE">
        <w:rPr>
          <w:i/>
          <w:noProof/>
          <w:sz w:val="24"/>
          <w:szCs w:val="24"/>
          <w:lang w:val="en-CA" w:eastAsia="en-CA"/>
        </w:rPr>
        <w:drawing>
          <wp:inline distT="0" distB="0" distL="0" distR="0" wp14:anchorId="6FEB26C3" wp14:editId="2B3B0685">
            <wp:extent cx="2666667" cy="2552381"/>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6667" cy="2552381"/>
                    </a:xfrm>
                    <a:prstGeom prst="rect">
                      <a:avLst/>
                    </a:prstGeom>
                  </pic:spPr>
                </pic:pic>
              </a:graphicData>
            </a:graphic>
          </wp:inline>
        </w:drawing>
      </w:r>
      <w:r w:rsidR="001569A7" w:rsidRPr="00E07FEE">
        <w:rPr>
          <w:rFonts w:ascii="Arial" w:hAnsi="Arial" w:cs="Arial"/>
          <w:i/>
          <w:sz w:val="24"/>
          <w:szCs w:val="24"/>
        </w:rPr>
        <w:br/>
      </w:r>
      <w:r w:rsidRPr="00E07FEE">
        <w:rPr>
          <w:rFonts w:ascii="Arial" w:hAnsi="Arial" w:cs="Arial"/>
          <w:i/>
          <w:sz w:val="24"/>
          <w:szCs w:val="24"/>
        </w:rPr>
        <w:t>Figure 8</w:t>
      </w:r>
      <w:r w:rsidR="001569A7" w:rsidRPr="00E07FEE">
        <w:rPr>
          <w:rFonts w:ascii="Arial" w:hAnsi="Arial" w:cs="Arial"/>
          <w:i/>
          <w:sz w:val="24"/>
          <w:szCs w:val="24"/>
        </w:rPr>
        <w:t xml:space="preserve"> and 9:</w:t>
      </w:r>
      <w:r w:rsidRPr="00E07FEE">
        <w:rPr>
          <w:rFonts w:ascii="Arial" w:hAnsi="Arial" w:cs="Arial"/>
          <w:i/>
          <w:sz w:val="24"/>
          <w:szCs w:val="24"/>
        </w:rPr>
        <w:t xml:space="preserve"> Sonic-</w:t>
      </w:r>
      <w:r w:rsidR="001569A7" w:rsidRPr="00E07FEE">
        <w:rPr>
          <w:rFonts w:ascii="Arial" w:hAnsi="Arial" w:cs="Arial"/>
          <w:i/>
          <w:sz w:val="24"/>
          <w:szCs w:val="24"/>
        </w:rPr>
        <w:t>N</w:t>
      </w:r>
      <w:r w:rsidRPr="00E07FEE">
        <w:rPr>
          <w:rFonts w:ascii="Arial" w:hAnsi="Arial" w:cs="Arial"/>
          <w:i/>
          <w:sz w:val="24"/>
          <w:szCs w:val="24"/>
        </w:rPr>
        <w:t xml:space="preserve">eutron </w:t>
      </w:r>
      <w:r w:rsidR="001569A7" w:rsidRPr="00E07FEE">
        <w:rPr>
          <w:rFonts w:ascii="Arial" w:hAnsi="Arial" w:cs="Arial"/>
          <w:i/>
          <w:sz w:val="24"/>
          <w:szCs w:val="24"/>
        </w:rPr>
        <w:t xml:space="preserve">(left) and Density-Neutron (right) </w:t>
      </w:r>
      <w:r w:rsidR="008E09F3" w:rsidRPr="00E07FEE">
        <w:rPr>
          <w:rFonts w:ascii="Arial" w:hAnsi="Arial" w:cs="Arial"/>
          <w:i/>
          <w:sz w:val="24"/>
          <w:szCs w:val="24"/>
        </w:rPr>
        <w:t xml:space="preserve">crossplot </w:t>
      </w:r>
      <w:r w:rsidR="001569A7" w:rsidRPr="00E07FEE">
        <w:rPr>
          <w:rFonts w:ascii="Arial" w:hAnsi="Arial" w:cs="Arial"/>
          <w:i/>
          <w:sz w:val="24"/>
          <w:szCs w:val="24"/>
        </w:rPr>
        <w:t xml:space="preserve">charts for </w:t>
      </w:r>
      <w:r w:rsidRPr="00E07FEE">
        <w:rPr>
          <w:rFonts w:ascii="Arial" w:hAnsi="Arial" w:cs="Arial"/>
          <w:i/>
          <w:sz w:val="24"/>
          <w:szCs w:val="24"/>
        </w:rPr>
        <w:t>determination of lithology and porosity.</w:t>
      </w:r>
      <w:r w:rsidR="0056171D">
        <w:rPr>
          <w:i/>
          <w:noProof/>
          <w:sz w:val="24"/>
          <w:szCs w:val="24"/>
          <w:lang w:val="en-CA" w:eastAsia="en-CA"/>
        </w:rPr>
        <w:t xml:space="preserve"> </w:t>
      </w:r>
      <w:r w:rsidR="001D22E4">
        <w:rPr>
          <w:i/>
          <w:noProof/>
          <w:sz w:val="24"/>
          <w:szCs w:val="24"/>
          <w:lang w:val="en-CA" w:eastAsia="en-CA"/>
        </w:rPr>
        <w:br/>
      </w:r>
      <w:r w:rsidR="00BF17DD" w:rsidRPr="00E07FEE">
        <w:rPr>
          <w:rFonts w:ascii="Arial" w:hAnsi="Arial" w:cs="Arial"/>
          <w:i/>
          <w:sz w:val="24"/>
          <w:szCs w:val="24"/>
        </w:rPr>
        <w:br/>
      </w:r>
      <w:r w:rsidR="00835A5A">
        <w:rPr>
          <w:rFonts w:ascii="Arial" w:hAnsi="Arial" w:cs="Arial"/>
          <w:i/>
          <w:noProof/>
          <w:sz w:val="24"/>
          <w:szCs w:val="24"/>
          <w:lang w:val="en-CA" w:eastAsia="en-CA"/>
        </w:rPr>
        <w:drawing>
          <wp:inline distT="0" distB="0" distL="0" distR="0" wp14:anchorId="25A2DEAA" wp14:editId="19A47A3F">
            <wp:extent cx="2232660" cy="2446940"/>
            <wp:effectExtent l="0" t="0" r="0" b="0"/>
            <wp:docPr id="13" name="Picture 13" descr="C:\ERC IP Tech Papers\1966-2 Defining Evaporite Deposites With Electrical Well Logs  NOGS-SALT Alger-Crain\Fig10 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C IP Tech Papers\1966-2 Defining Evaporite Deposites With Electrical Well Logs  NOGS-SALT Alger-Crain\Fig10 S-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2660" cy="2446940"/>
                    </a:xfrm>
                    <a:prstGeom prst="rect">
                      <a:avLst/>
                    </a:prstGeom>
                    <a:noFill/>
                    <a:ln>
                      <a:noFill/>
                    </a:ln>
                  </pic:spPr>
                </pic:pic>
              </a:graphicData>
            </a:graphic>
          </wp:inline>
        </w:drawing>
      </w:r>
      <w:r w:rsidR="00835A5A">
        <w:rPr>
          <w:i/>
          <w:noProof/>
          <w:sz w:val="24"/>
          <w:szCs w:val="24"/>
          <w:lang w:val="en-CA" w:eastAsia="en-CA"/>
        </w:rPr>
        <w:br/>
      </w:r>
      <w:r w:rsidRPr="00E07FEE">
        <w:rPr>
          <w:rFonts w:ascii="Arial" w:hAnsi="Arial" w:cs="Arial"/>
          <w:i/>
          <w:sz w:val="24"/>
          <w:szCs w:val="24"/>
        </w:rPr>
        <w:t>Figure 10</w:t>
      </w:r>
      <w:r w:rsidR="001569A7" w:rsidRPr="00E07FEE">
        <w:rPr>
          <w:rFonts w:ascii="Arial" w:hAnsi="Arial" w:cs="Arial"/>
          <w:i/>
          <w:sz w:val="24"/>
          <w:szCs w:val="24"/>
        </w:rPr>
        <w:t>:</w:t>
      </w:r>
      <w:r w:rsidRPr="00E07FEE">
        <w:rPr>
          <w:rFonts w:ascii="Arial" w:hAnsi="Arial" w:cs="Arial"/>
          <w:i/>
          <w:sz w:val="24"/>
          <w:szCs w:val="24"/>
        </w:rPr>
        <w:t xml:space="preserve"> Sonic-Density </w:t>
      </w:r>
      <w:r w:rsidR="008E09F3" w:rsidRPr="00E07FEE">
        <w:rPr>
          <w:rFonts w:ascii="Arial" w:hAnsi="Arial" w:cs="Arial"/>
          <w:i/>
          <w:sz w:val="24"/>
          <w:szCs w:val="24"/>
        </w:rPr>
        <w:t>crossplot c</w:t>
      </w:r>
      <w:r w:rsidRPr="00E07FEE">
        <w:rPr>
          <w:rFonts w:ascii="Arial" w:hAnsi="Arial" w:cs="Arial"/>
          <w:i/>
          <w:sz w:val="24"/>
          <w:szCs w:val="24"/>
        </w:rPr>
        <w:t>hart for determination of lithology and porosity.</w:t>
      </w:r>
    </w:p>
    <w:p w14:paraId="5E55839E" w14:textId="77777777" w:rsidR="001D22E4" w:rsidRPr="00E07FEE" w:rsidRDefault="008E09F3" w:rsidP="001D22E4">
      <w:pPr>
        <w:rPr>
          <w:rFonts w:ascii="Arial" w:hAnsi="Arial" w:cs="Arial"/>
          <w:i/>
          <w:sz w:val="24"/>
          <w:szCs w:val="24"/>
        </w:rPr>
      </w:pPr>
      <w:r w:rsidRPr="00500E49">
        <w:rPr>
          <w:rFonts w:ascii="Arial" w:hAnsi="Arial" w:cs="Arial"/>
          <w:sz w:val="24"/>
          <w:szCs w:val="24"/>
        </w:rPr>
        <w:lastRenderedPageBreak/>
        <w:br/>
      </w:r>
      <w:r w:rsidR="001D22E4" w:rsidRPr="00500E49">
        <w:rPr>
          <w:rFonts w:ascii="Arial" w:hAnsi="Arial" w:cs="Arial"/>
          <w:sz w:val="24"/>
          <w:szCs w:val="24"/>
        </w:rPr>
        <w:t>If a third mineral is involved, additional data is required. Evaluation becomes more difficult and usually requires complex graphical solutions or, even better, processing by machine computation (</w:t>
      </w:r>
      <w:proofErr w:type="spellStart"/>
      <w:r w:rsidR="001D22E4" w:rsidRPr="00500E49">
        <w:rPr>
          <w:rFonts w:ascii="Arial" w:hAnsi="Arial" w:cs="Arial"/>
          <w:sz w:val="24"/>
          <w:szCs w:val="24"/>
        </w:rPr>
        <w:t>Savre</w:t>
      </w:r>
      <w:proofErr w:type="spellEnd"/>
      <w:r w:rsidR="001D22E4" w:rsidRPr="00500E49">
        <w:rPr>
          <w:rFonts w:ascii="Arial" w:hAnsi="Arial" w:cs="Arial"/>
          <w:sz w:val="24"/>
          <w:szCs w:val="24"/>
        </w:rPr>
        <w:t>, 1965).</w:t>
      </w:r>
    </w:p>
    <w:p w14:paraId="55CC0E67" w14:textId="11A732FF" w:rsidR="00BB474A" w:rsidRPr="00500E49" w:rsidRDefault="001D22E4">
      <w:pPr>
        <w:rPr>
          <w:rFonts w:ascii="Arial" w:hAnsi="Arial" w:cs="Arial"/>
          <w:sz w:val="24"/>
          <w:szCs w:val="24"/>
        </w:rPr>
      </w:pPr>
      <w:r>
        <w:rPr>
          <w:rFonts w:ascii="Arial" w:hAnsi="Arial" w:cs="Arial"/>
          <w:b/>
          <w:caps/>
          <w:sz w:val="24"/>
          <w:szCs w:val="24"/>
        </w:rPr>
        <w:br/>
      </w:r>
      <w:r w:rsidR="00BB474A" w:rsidRPr="00844CF3">
        <w:rPr>
          <w:rFonts w:ascii="Arial" w:hAnsi="Arial" w:cs="Arial"/>
          <w:b/>
          <w:caps/>
          <w:sz w:val="24"/>
          <w:szCs w:val="24"/>
        </w:rPr>
        <w:t>Halite-Anhydrite</w:t>
      </w:r>
      <w:r w:rsidR="008E09F3" w:rsidRPr="00844CF3">
        <w:rPr>
          <w:rFonts w:ascii="Arial" w:hAnsi="Arial" w:cs="Arial"/>
          <w:b/>
          <w:caps/>
          <w:sz w:val="24"/>
          <w:szCs w:val="24"/>
        </w:rPr>
        <w:t xml:space="preserve"> Example</w:t>
      </w:r>
      <w:r w:rsidR="008E09F3" w:rsidRPr="00844CF3">
        <w:rPr>
          <w:rFonts w:ascii="Arial" w:hAnsi="Arial" w:cs="Arial"/>
          <w:b/>
          <w:sz w:val="24"/>
          <w:szCs w:val="24"/>
        </w:rPr>
        <w:br/>
      </w:r>
      <w:r w:rsidR="00BB474A" w:rsidRPr="00500E49">
        <w:rPr>
          <w:rFonts w:ascii="Arial" w:hAnsi="Arial" w:cs="Arial"/>
          <w:sz w:val="24"/>
          <w:szCs w:val="24"/>
        </w:rPr>
        <w:t>The logs shown on Figure 3 serve to illustrated the use of the crossplot technique.  The log data are as follows:</w:t>
      </w:r>
    </w:p>
    <w:tbl>
      <w:tblPr>
        <w:tblStyle w:val="TableGrid"/>
        <w:tblW w:w="0" w:type="auto"/>
        <w:tblLook w:val="04A0" w:firstRow="1" w:lastRow="0" w:firstColumn="1" w:lastColumn="0" w:noHBand="0" w:noVBand="1"/>
      </w:tblPr>
      <w:tblGrid>
        <w:gridCol w:w="3116"/>
        <w:gridCol w:w="3117"/>
        <w:gridCol w:w="3117"/>
      </w:tblGrid>
      <w:tr w:rsidR="00BB474A" w:rsidRPr="00500E49" w14:paraId="036D9EEC" w14:textId="77777777" w:rsidTr="00BB474A">
        <w:tc>
          <w:tcPr>
            <w:tcW w:w="3116" w:type="dxa"/>
          </w:tcPr>
          <w:p w14:paraId="69FF9355" w14:textId="6573DA27" w:rsidR="00BB474A" w:rsidRPr="00500E49" w:rsidRDefault="00BB474A" w:rsidP="00BB474A">
            <w:pPr>
              <w:jc w:val="center"/>
              <w:rPr>
                <w:rFonts w:ascii="Arial" w:hAnsi="Arial" w:cs="Arial"/>
                <w:sz w:val="24"/>
                <w:szCs w:val="24"/>
              </w:rPr>
            </w:pPr>
            <w:r w:rsidRPr="00500E49">
              <w:rPr>
                <w:rFonts w:ascii="Arial" w:hAnsi="Arial" w:cs="Arial"/>
                <w:sz w:val="24"/>
                <w:szCs w:val="24"/>
              </w:rPr>
              <w:t>Zone</w:t>
            </w:r>
          </w:p>
        </w:tc>
        <w:tc>
          <w:tcPr>
            <w:tcW w:w="3117" w:type="dxa"/>
          </w:tcPr>
          <w:p w14:paraId="0CC41600" w14:textId="734D5D6A" w:rsidR="00BB474A" w:rsidRPr="00500E49" w:rsidRDefault="00BB474A" w:rsidP="00BB474A">
            <w:pPr>
              <w:jc w:val="center"/>
              <w:rPr>
                <w:rFonts w:ascii="Arial" w:hAnsi="Arial" w:cs="Arial"/>
                <w:sz w:val="24"/>
                <w:szCs w:val="24"/>
              </w:rPr>
            </w:pPr>
            <w:r w:rsidRPr="00500E49">
              <w:rPr>
                <w:rFonts w:ascii="Arial" w:hAnsi="Arial" w:cs="Arial"/>
                <w:sz w:val="24"/>
                <w:szCs w:val="24"/>
              </w:rPr>
              <w:t xml:space="preserve">Sonic Logs (SL) </w:t>
            </w:r>
            <w:r w:rsidRPr="00500E49">
              <w:rPr>
                <w:rFonts w:ascii="Arial" w:hAnsi="Arial" w:cs="Arial"/>
                <w:sz w:val="24"/>
                <w:szCs w:val="24"/>
              </w:rPr>
              <w:sym w:font="Wingdings 3" w:char="F072"/>
            </w:r>
            <w:r w:rsidRPr="00500E49">
              <w:rPr>
                <w:rFonts w:ascii="Arial" w:hAnsi="Arial" w:cs="Arial"/>
                <w:sz w:val="24"/>
                <w:szCs w:val="24"/>
                <w:vertAlign w:val="subscript"/>
              </w:rPr>
              <w:t>t</w:t>
            </w:r>
          </w:p>
        </w:tc>
        <w:tc>
          <w:tcPr>
            <w:tcW w:w="3117" w:type="dxa"/>
          </w:tcPr>
          <w:p w14:paraId="598CA39D" w14:textId="4905D1B9" w:rsidR="00BB474A" w:rsidRPr="00500E49" w:rsidRDefault="00BB474A" w:rsidP="00BB474A">
            <w:pPr>
              <w:jc w:val="center"/>
              <w:rPr>
                <w:rFonts w:ascii="Arial" w:hAnsi="Arial" w:cs="Arial"/>
                <w:sz w:val="24"/>
                <w:szCs w:val="24"/>
              </w:rPr>
            </w:pPr>
            <w:r w:rsidRPr="00500E49">
              <w:rPr>
                <w:rFonts w:ascii="Arial" w:hAnsi="Arial" w:cs="Arial"/>
                <w:sz w:val="24"/>
                <w:szCs w:val="24"/>
              </w:rPr>
              <w:t xml:space="preserve">Density (FDC) </w:t>
            </w:r>
            <w:r w:rsidR="00B4775E">
              <w:rPr>
                <w:rFonts w:ascii="Symbol" w:hAnsi="Symbol" w:cs="Arial"/>
                <w:sz w:val="24"/>
                <w:szCs w:val="24"/>
              </w:rPr>
              <w:t></w:t>
            </w:r>
            <w:r w:rsidRPr="00500E49">
              <w:rPr>
                <w:rFonts w:ascii="Arial" w:hAnsi="Arial" w:cs="Arial"/>
                <w:sz w:val="24"/>
                <w:szCs w:val="24"/>
                <w:vertAlign w:val="subscript"/>
              </w:rPr>
              <w:t>B</w:t>
            </w:r>
          </w:p>
        </w:tc>
      </w:tr>
      <w:tr w:rsidR="00BB474A" w:rsidRPr="00500E49" w14:paraId="5FF78142" w14:textId="77777777" w:rsidTr="00BB474A">
        <w:tc>
          <w:tcPr>
            <w:tcW w:w="3116" w:type="dxa"/>
          </w:tcPr>
          <w:p w14:paraId="1F7671E4" w14:textId="7A0593F4" w:rsidR="00BB474A" w:rsidRPr="00500E49" w:rsidRDefault="00BB474A" w:rsidP="00BB474A">
            <w:pPr>
              <w:jc w:val="center"/>
              <w:rPr>
                <w:rFonts w:ascii="Arial" w:hAnsi="Arial" w:cs="Arial"/>
                <w:sz w:val="24"/>
                <w:szCs w:val="24"/>
              </w:rPr>
            </w:pPr>
            <w:r w:rsidRPr="00500E49">
              <w:rPr>
                <w:rFonts w:ascii="Arial" w:hAnsi="Arial" w:cs="Arial"/>
                <w:sz w:val="24"/>
                <w:szCs w:val="24"/>
              </w:rPr>
              <w:t>B</w:t>
            </w:r>
          </w:p>
        </w:tc>
        <w:tc>
          <w:tcPr>
            <w:tcW w:w="3117" w:type="dxa"/>
          </w:tcPr>
          <w:p w14:paraId="1DFC0D79" w14:textId="7C822987" w:rsidR="00BB474A" w:rsidRPr="00500E49" w:rsidRDefault="00BB474A" w:rsidP="00BB474A">
            <w:pPr>
              <w:jc w:val="center"/>
              <w:rPr>
                <w:rFonts w:ascii="Arial" w:hAnsi="Arial" w:cs="Arial"/>
                <w:sz w:val="24"/>
                <w:szCs w:val="24"/>
              </w:rPr>
            </w:pPr>
            <w:r w:rsidRPr="00500E49">
              <w:rPr>
                <w:rFonts w:ascii="Arial" w:hAnsi="Arial" w:cs="Arial"/>
                <w:sz w:val="24"/>
                <w:szCs w:val="24"/>
              </w:rPr>
              <w:t>56</w:t>
            </w:r>
          </w:p>
        </w:tc>
        <w:tc>
          <w:tcPr>
            <w:tcW w:w="3117" w:type="dxa"/>
          </w:tcPr>
          <w:p w14:paraId="699DA608" w14:textId="39464876" w:rsidR="00BB474A" w:rsidRPr="00500E49" w:rsidRDefault="00BB474A" w:rsidP="00BB474A">
            <w:pPr>
              <w:jc w:val="center"/>
              <w:rPr>
                <w:rFonts w:ascii="Arial" w:hAnsi="Arial" w:cs="Arial"/>
                <w:sz w:val="24"/>
                <w:szCs w:val="24"/>
              </w:rPr>
            </w:pPr>
            <w:r w:rsidRPr="00500E49">
              <w:rPr>
                <w:rFonts w:ascii="Arial" w:hAnsi="Arial" w:cs="Arial"/>
                <w:sz w:val="24"/>
                <w:szCs w:val="24"/>
              </w:rPr>
              <w:t>2.88</w:t>
            </w:r>
          </w:p>
        </w:tc>
      </w:tr>
      <w:tr w:rsidR="00BB474A" w:rsidRPr="00500E49" w14:paraId="6D18A94B" w14:textId="77777777" w:rsidTr="00BB474A">
        <w:tc>
          <w:tcPr>
            <w:tcW w:w="3116" w:type="dxa"/>
          </w:tcPr>
          <w:p w14:paraId="3526A096" w14:textId="4309FFEF" w:rsidR="00BB474A" w:rsidRPr="00500E49" w:rsidRDefault="00BB474A" w:rsidP="00BB474A">
            <w:pPr>
              <w:jc w:val="center"/>
              <w:rPr>
                <w:rFonts w:ascii="Arial" w:hAnsi="Arial" w:cs="Arial"/>
                <w:sz w:val="24"/>
                <w:szCs w:val="24"/>
              </w:rPr>
            </w:pPr>
            <w:r w:rsidRPr="00500E49">
              <w:rPr>
                <w:rFonts w:ascii="Arial" w:hAnsi="Arial" w:cs="Arial"/>
                <w:sz w:val="24"/>
                <w:szCs w:val="24"/>
              </w:rPr>
              <w:t>C</w:t>
            </w:r>
          </w:p>
        </w:tc>
        <w:tc>
          <w:tcPr>
            <w:tcW w:w="3117" w:type="dxa"/>
          </w:tcPr>
          <w:p w14:paraId="25EB6BA4" w14:textId="545C79E9" w:rsidR="00BB474A" w:rsidRPr="00500E49" w:rsidRDefault="00BB474A" w:rsidP="00BB474A">
            <w:pPr>
              <w:jc w:val="center"/>
              <w:rPr>
                <w:rFonts w:ascii="Arial" w:hAnsi="Arial" w:cs="Arial"/>
                <w:sz w:val="24"/>
                <w:szCs w:val="24"/>
              </w:rPr>
            </w:pPr>
            <w:r w:rsidRPr="00500E49">
              <w:rPr>
                <w:rFonts w:ascii="Arial" w:hAnsi="Arial" w:cs="Arial"/>
                <w:sz w:val="24"/>
                <w:szCs w:val="24"/>
              </w:rPr>
              <w:t>70</w:t>
            </w:r>
          </w:p>
        </w:tc>
        <w:tc>
          <w:tcPr>
            <w:tcW w:w="3117" w:type="dxa"/>
          </w:tcPr>
          <w:p w14:paraId="538D418D" w14:textId="7C36BF68" w:rsidR="00BB474A" w:rsidRPr="00500E49" w:rsidRDefault="00BB474A" w:rsidP="00BB474A">
            <w:pPr>
              <w:jc w:val="center"/>
              <w:rPr>
                <w:rFonts w:ascii="Arial" w:hAnsi="Arial" w:cs="Arial"/>
                <w:sz w:val="24"/>
                <w:szCs w:val="24"/>
              </w:rPr>
            </w:pPr>
            <w:r w:rsidRPr="00500E49">
              <w:rPr>
                <w:rFonts w:ascii="Arial" w:hAnsi="Arial" w:cs="Arial"/>
                <w:sz w:val="24"/>
                <w:szCs w:val="24"/>
              </w:rPr>
              <w:t>2.02</w:t>
            </w:r>
          </w:p>
        </w:tc>
      </w:tr>
    </w:tbl>
    <w:p w14:paraId="636F43E4" w14:textId="58569967" w:rsidR="00BB474A" w:rsidRPr="00500E49" w:rsidRDefault="00BB474A">
      <w:pPr>
        <w:rPr>
          <w:rFonts w:ascii="Arial" w:hAnsi="Arial" w:cs="Arial"/>
          <w:sz w:val="24"/>
          <w:szCs w:val="24"/>
        </w:rPr>
      </w:pPr>
    </w:p>
    <w:p w14:paraId="7B26862E" w14:textId="624321F4" w:rsidR="00E94DD9" w:rsidRPr="00500E49" w:rsidRDefault="00BB474A">
      <w:pPr>
        <w:rPr>
          <w:rFonts w:ascii="Arial" w:hAnsi="Arial" w:cs="Arial"/>
          <w:sz w:val="24"/>
          <w:szCs w:val="24"/>
        </w:rPr>
      </w:pPr>
      <w:r w:rsidRPr="00500E49">
        <w:rPr>
          <w:rFonts w:ascii="Arial" w:hAnsi="Arial" w:cs="Arial"/>
          <w:sz w:val="24"/>
          <w:szCs w:val="24"/>
        </w:rPr>
        <w:t xml:space="preserve">These values are entered in Figure 10 (Sonic- Density Chart). Zone B plots on the anhydrite line and indicates about 4% porosity is present.  Zone C plots on the halite line and suggests about 2% porosity is present. The contact between Zones B and C appears to be a solution interface. </w:t>
      </w:r>
      <w:r w:rsidR="00224235" w:rsidRPr="00500E49">
        <w:rPr>
          <w:rFonts w:ascii="Arial" w:hAnsi="Arial" w:cs="Arial"/>
          <w:sz w:val="24"/>
          <w:szCs w:val="24"/>
        </w:rPr>
        <w:br/>
      </w:r>
      <w:r w:rsidR="00224235" w:rsidRPr="00500E49">
        <w:rPr>
          <w:rFonts w:ascii="Arial" w:hAnsi="Arial" w:cs="Arial"/>
          <w:sz w:val="24"/>
          <w:szCs w:val="24"/>
        </w:rPr>
        <w:br/>
      </w:r>
      <w:r w:rsidRPr="00500E49">
        <w:rPr>
          <w:rFonts w:ascii="Arial" w:hAnsi="Arial" w:cs="Arial"/>
          <w:sz w:val="24"/>
          <w:szCs w:val="24"/>
        </w:rPr>
        <w:t>Here water is dissolving the halite and freeing the disseminated anhydrite crystals, which become concentrated and subsequently are recrystallized above the salt mass (Landes, 1962, p. 8)</w:t>
      </w:r>
      <w:r w:rsidR="00E94DD9" w:rsidRPr="00500E49">
        <w:rPr>
          <w:rFonts w:ascii="Arial" w:hAnsi="Arial" w:cs="Arial"/>
          <w:sz w:val="24"/>
          <w:szCs w:val="24"/>
        </w:rPr>
        <w:t xml:space="preserve"> </w:t>
      </w:r>
      <w:r w:rsidRPr="00500E49">
        <w:rPr>
          <w:rFonts w:ascii="Arial" w:hAnsi="Arial" w:cs="Arial"/>
          <w:sz w:val="24"/>
          <w:szCs w:val="24"/>
        </w:rPr>
        <w:t xml:space="preserve">. Zone </w:t>
      </w:r>
      <w:r w:rsidR="00E94DD9" w:rsidRPr="00500E49">
        <w:rPr>
          <w:rFonts w:ascii="Arial" w:hAnsi="Arial" w:cs="Arial"/>
          <w:sz w:val="24"/>
          <w:szCs w:val="24"/>
        </w:rPr>
        <w:t>A</w:t>
      </w:r>
      <w:r w:rsidRPr="00500E49">
        <w:rPr>
          <w:rFonts w:ascii="Arial" w:hAnsi="Arial" w:cs="Arial"/>
          <w:sz w:val="24"/>
          <w:szCs w:val="24"/>
        </w:rPr>
        <w:t xml:space="preserve"> is predominantly of limestone containing considerable porosity</w:t>
      </w:r>
      <w:r w:rsidR="00E94DD9" w:rsidRPr="00500E49">
        <w:rPr>
          <w:rFonts w:ascii="Arial" w:hAnsi="Arial" w:cs="Arial"/>
          <w:sz w:val="24"/>
          <w:szCs w:val="24"/>
        </w:rPr>
        <w:t xml:space="preserve">.  Such a zone, </w:t>
      </w:r>
      <w:r w:rsidRPr="00500E49">
        <w:rPr>
          <w:rFonts w:ascii="Arial" w:hAnsi="Arial" w:cs="Arial"/>
          <w:sz w:val="24"/>
          <w:szCs w:val="24"/>
        </w:rPr>
        <w:t xml:space="preserve">when well developed, is favorable for deposition of native crystalline </w:t>
      </w:r>
      <w:r w:rsidR="00224235" w:rsidRPr="00500E49">
        <w:rPr>
          <w:rFonts w:ascii="Arial" w:hAnsi="Arial" w:cs="Arial"/>
          <w:sz w:val="24"/>
          <w:szCs w:val="24"/>
        </w:rPr>
        <w:t>s</w:t>
      </w:r>
      <w:r w:rsidR="00E94DD9" w:rsidRPr="00500E49">
        <w:rPr>
          <w:rFonts w:ascii="Arial" w:hAnsi="Arial" w:cs="Arial"/>
          <w:sz w:val="24"/>
          <w:szCs w:val="24"/>
        </w:rPr>
        <w:t>ulphur.</w:t>
      </w:r>
    </w:p>
    <w:p w14:paraId="1EA8E85C" w14:textId="63934A0E" w:rsidR="00A622F2" w:rsidRPr="00500E49" w:rsidRDefault="00E94DD9">
      <w:pPr>
        <w:rPr>
          <w:rFonts w:ascii="Arial" w:hAnsi="Arial" w:cs="Arial"/>
          <w:sz w:val="24"/>
          <w:szCs w:val="24"/>
        </w:rPr>
      </w:pPr>
      <w:r w:rsidRPr="00844CF3">
        <w:rPr>
          <w:rFonts w:ascii="Arial" w:hAnsi="Arial" w:cs="Arial"/>
          <w:b/>
          <w:caps/>
          <w:sz w:val="24"/>
          <w:szCs w:val="24"/>
        </w:rPr>
        <w:t>S</w:t>
      </w:r>
      <w:r w:rsidR="00224235" w:rsidRPr="00844CF3">
        <w:rPr>
          <w:rFonts w:ascii="Arial" w:hAnsi="Arial" w:cs="Arial"/>
          <w:b/>
          <w:caps/>
          <w:sz w:val="24"/>
          <w:szCs w:val="24"/>
        </w:rPr>
        <w:t>ulfur Example</w:t>
      </w:r>
      <w:r w:rsidR="00224235" w:rsidRPr="00844CF3">
        <w:rPr>
          <w:rFonts w:ascii="Arial" w:hAnsi="Arial" w:cs="Arial"/>
          <w:b/>
          <w:caps/>
          <w:sz w:val="24"/>
          <w:szCs w:val="24"/>
        </w:rPr>
        <w:br/>
      </w:r>
      <w:r w:rsidR="00A05C82" w:rsidRPr="00500E49">
        <w:rPr>
          <w:rFonts w:ascii="Arial" w:hAnsi="Arial" w:cs="Arial"/>
          <w:sz w:val="24"/>
          <w:szCs w:val="24"/>
        </w:rPr>
        <w:t>An example (Fig. 11) of sulphur location and evaluation is used to present another method of mineral analysis.  Sulphur is usually deposited in vugs or caverns in the limestone cap rock.  Some water-filled voids still exist.  The set of logs must be able to resolve the percentages of water, sulphur and limestone.  The recently developed density tool (FDC) and sidewall epithermal neutron (E-N) are most suitable for this purpose.  These logs can be scaled in linear porosity, assuming a limestone matrix.  With this scaling the Neutron Log primarily reflects variations in the amount of water in the formation, and the density curve indicates the combined effect of variations in amounts of water and sulphur.  Figure 11 shows application of the method.  A neutron deflection to the left of the zero porosity line gives the percentage of bulk volume occupied by water.  The density curve gives that occupied by water plus sulphur.  These guides are then useful for interpretation:</w:t>
      </w:r>
    </w:p>
    <w:p w14:paraId="0718FC66" w14:textId="248CF06D" w:rsidR="00A05C82" w:rsidRPr="00500E49" w:rsidRDefault="00A05C82" w:rsidP="00A05C82">
      <w:pPr>
        <w:pStyle w:val="ListParagraph"/>
        <w:numPr>
          <w:ilvl w:val="0"/>
          <w:numId w:val="32"/>
        </w:numPr>
        <w:rPr>
          <w:rFonts w:ascii="Arial" w:hAnsi="Arial" w:cs="Arial"/>
          <w:sz w:val="24"/>
          <w:szCs w:val="24"/>
        </w:rPr>
      </w:pPr>
      <w:r w:rsidRPr="00500E49">
        <w:rPr>
          <w:rFonts w:ascii="Arial" w:hAnsi="Arial" w:cs="Arial"/>
          <w:sz w:val="24"/>
          <w:szCs w:val="24"/>
        </w:rPr>
        <w:t xml:space="preserve">When the </w:t>
      </w:r>
      <w:r w:rsidRPr="00DD010F">
        <w:rPr>
          <w:rFonts w:ascii="Arial" w:hAnsi="Arial" w:cs="Arial"/>
          <w:sz w:val="24"/>
          <w:szCs w:val="24"/>
        </w:rPr>
        <w:t>curve</w:t>
      </w:r>
      <w:r w:rsidR="00384EDB" w:rsidRPr="00DD010F">
        <w:rPr>
          <w:rFonts w:ascii="Arial" w:hAnsi="Arial" w:cs="Arial"/>
          <w:sz w:val="24"/>
          <w:szCs w:val="24"/>
        </w:rPr>
        <w:t>s</w:t>
      </w:r>
      <w:r w:rsidRPr="00500E49">
        <w:rPr>
          <w:rFonts w:ascii="Arial" w:hAnsi="Arial" w:cs="Arial"/>
          <w:sz w:val="24"/>
          <w:szCs w:val="24"/>
        </w:rPr>
        <w:t xml:space="preserve"> agree, only limestone and water are present.</w:t>
      </w:r>
    </w:p>
    <w:p w14:paraId="71DA3A21" w14:textId="7D0494B7" w:rsidR="00A05C82" w:rsidRPr="00500E49" w:rsidRDefault="00A05C82" w:rsidP="00A05C82">
      <w:pPr>
        <w:pStyle w:val="ListParagraph"/>
        <w:numPr>
          <w:ilvl w:val="0"/>
          <w:numId w:val="32"/>
        </w:numPr>
        <w:rPr>
          <w:rFonts w:ascii="Arial" w:hAnsi="Arial" w:cs="Arial"/>
          <w:sz w:val="24"/>
          <w:szCs w:val="24"/>
        </w:rPr>
      </w:pPr>
      <w:r w:rsidRPr="00500E49">
        <w:rPr>
          <w:rFonts w:ascii="Arial" w:hAnsi="Arial" w:cs="Arial"/>
          <w:sz w:val="24"/>
          <w:szCs w:val="24"/>
        </w:rPr>
        <w:t>When the density curve is to the left of the neutron curve, sulphur is indicated.</w:t>
      </w:r>
    </w:p>
    <w:p w14:paraId="33CA19FB" w14:textId="4296D2C6" w:rsidR="00502B62" w:rsidRPr="00500E49" w:rsidRDefault="00502B62" w:rsidP="00A05C82">
      <w:pPr>
        <w:pStyle w:val="ListParagraph"/>
        <w:numPr>
          <w:ilvl w:val="0"/>
          <w:numId w:val="32"/>
        </w:numPr>
        <w:rPr>
          <w:rFonts w:ascii="Arial" w:hAnsi="Arial" w:cs="Arial"/>
          <w:sz w:val="24"/>
          <w:szCs w:val="24"/>
        </w:rPr>
      </w:pPr>
      <w:r w:rsidRPr="00500E49">
        <w:rPr>
          <w:rFonts w:ascii="Arial" w:hAnsi="Arial" w:cs="Arial"/>
          <w:sz w:val="24"/>
          <w:szCs w:val="24"/>
        </w:rPr>
        <w:t>If no other minerals are present in the sulphur-bearing limestone (such as anhydrite, gypsum, salt, pyrite), the percentage of sulphur can be found as follows; (</w:t>
      </w:r>
      <w:r w:rsidR="005B1BB4" w:rsidRPr="00DD010F">
        <w:rPr>
          <w:rFonts w:ascii="Symbol" w:hAnsi="Symbol" w:cs="Adobe Devanagari"/>
          <w:sz w:val="28"/>
          <w:szCs w:val="28"/>
        </w:rPr>
        <w:t></w:t>
      </w:r>
      <w:r w:rsidRPr="005B1BB4">
        <w:rPr>
          <w:rFonts w:ascii="Symbol" w:hAnsi="Symbol" w:cs="Adobe Devanagari"/>
          <w:sz w:val="24"/>
          <w:szCs w:val="24"/>
        </w:rPr>
        <w:t></w:t>
      </w:r>
      <w:r w:rsidRPr="00500E49">
        <w:rPr>
          <w:rFonts w:ascii="Arial" w:hAnsi="Arial" w:cs="Arial"/>
          <w:sz w:val="24"/>
          <w:szCs w:val="24"/>
        </w:rPr>
        <w:t xml:space="preserve">Density- </w:t>
      </w:r>
      <w:r w:rsidR="00B4775E" w:rsidRPr="00DD010F">
        <w:rPr>
          <w:rFonts w:ascii="Symbol" w:hAnsi="Symbol" w:cs="Adobe Devanagari"/>
          <w:sz w:val="28"/>
          <w:szCs w:val="28"/>
        </w:rPr>
        <w:t></w:t>
      </w:r>
      <w:r w:rsidRPr="00500E49">
        <w:rPr>
          <w:rFonts w:ascii="Adobe Devanagari" w:hAnsi="Adobe Devanagari" w:cs="Adobe Devanagari"/>
          <w:sz w:val="24"/>
          <w:szCs w:val="24"/>
        </w:rPr>
        <w:t xml:space="preserve"> </w:t>
      </w:r>
      <w:r w:rsidRPr="00500E49">
        <w:rPr>
          <w:rFonts w:ascii="Arial" w:hAnsi="Arial" w:cs="Arial"/>
          <w:sz w:val="24"/>
          <w:szCs w:val="24"/>
        </w:rPr>
        <w:t>Neutron) / 40 = fraction of sulphur.  Actually, this is</w:t>
      </w:r>
      <w:r w:rsidR="00384EDB">
        <w:rPr>
          <w:rFonts w:ascii="Arial" w:hAnsi="Arial" w:cs="Arial"/>
          <w:sz w:val="24"/>
          <w:szCs w:val="24"/>
        </w:rPr>
        <w:t xml:space="preserve"> </w:t>
      </w:r>
      <w:r w:rsidRPr="00500E49">
        <w:rPr>
          <w:rFonts w:ascii="Arial" w:hAnsi="Arial" w:cs="Arial"/>
          <w:sz w:val="24"/>
          <w:szCs w:val="24"/>
        </w:rPr>
        <w:t xml:space="preserve">true </w:t>
      </w:r>
      <w:r w:rsidRPr="00500E49">
        <w:rPr>
          <w:rFonts w:ascii="Arial" w:hAnsi="Arial" w:cs="Arial"/>
          <w:sz w:val="24"/>
          <w:szCs w:val="24"/>
        </w:rPr>
        <w:lastRenderedPageBreak/>
        <w:t xml:space="preserve">only if </w:t>
      </w:r>
      <w:r w:rsidR="00DD010F">
        <w:rPr>
          <w:rFonts w:ascii="Arial" w:hAnsi="Arial" w:cs="Arial"/>
          <w:sz w:val="24"/>
          <w:szCs w:val="24"/>
        </w:rPr>
        <w:t>s</w:t>
      </w:r>
      <w:r w:rsidR="00DD010F" w:rsidRPr="00500E49">
        <w:rPr>
          <w:rFonts w:ascii="Arial" w:hAnsi="Arial" w:cs="Arial"/>
          <w:sz w:val="24"/>
          <w:szCs w:val="24"/>
        </w:rPr>
        <w:t>ulphur</w:t>
      </w:r>
      <w:r w:rsidRPr="00500E49">
        <w:rPr>
          <w:rFonts w:ascii="Arial" w:hAnsi="Arial" w:cs="Arial"/>
          <w:sz w:val="24"/>
          <w:szCs w:val="24"/>
        </w:rPr>
        <w:t xml:space="preserve"> produces no matrix effect on the neutron measurement.  Probably some effect does exist, but it is usually of little importance.</w:t>
      </w:r>
    </w:p>
    <w:p w14:paraId="27A19819" w14:textId="7CB2626E" w:rsidR="00502B62" w:rsidRPr="00500E49" w:rsidRDefault="00502B62" w:rsidP="00A05C82">
      <w:pPr>
        <w:pStyle w:val="ListParagraph"/>
        <w:numPr>
          <w:ilvl w:val="0"/>
          <w:numId w:val="32"/>
        </w:numPr>
        <w:rPr>
          <w:rFonts w:ascii="Arial" w:hAnsi="Arial" w:cs="Arial"/>
          <w:sz w:val="24"/>
          <w:szCs w:val="24"/>
        </w:rPr>
      </w:pPr>
      <w:r w:rsidRPr="00500E49">
        <w:rPr>
          <w:rFonts w:ascii="Arial" w:hAnsi="Arial" w:cs="Arial"/>
          <w:sz w:val="24"/>
          <w:szCs w:val="24"/>
        </w:rPr>
        <w:t>When the density curve is to the right of the zero porosity line for limestone, anhydrite is usually present.</w:t>
      </w:r>
    </w:p>
    <w:p w14:paraId="486A6B0F" w14:textId="25E85B60" w:rsidR="00A622F2" w:rsidRPr="00E07FEE" w:rsidRDefault="00BF17DD" w:rsidP="00E07FEE">
      <w:pPr>
        <w:jc w:val="center"/>
        <w:rPr>
          <w:rFonts w:ascii="Arial" w:hAnsi="Arial" w:cs="Arial"/>
          <w:i/>
          <w:sz w:val="24"/>
          <w:szCs w:val="24"/>
        </w:rPr>
      </w:pPr>
      <w:r w:rsidRPr="00E07FEE">
        <w:rPr>
          <w:i/>
          <w:noProof/>
          <w:sz w:val="24"/>
          <w:szCs w:val="24"/>
          <w:lang w:val="en-CA" w:eastAsia="en-CA"/>
        </w:rPr>
        <mc:AlternateContent>
          <mc:Choice Requires="wpi">
            <w:drawing>
              <wp:anchor distT="0" distB="0" distL="114300" distR="114300" simplePos="0" relativeHeight="251659264" behindDoc="0" locked="0" layoutInCell="1" allowOverlap="1" wp14:anchorId="3E537286" wp14:editId="713C61F2">
                <wp:simplePos x="0" y="0"/>
                <wp:positionH relativeFrom="column">
                  <wp:posOffset>2192520</wp:posOffset>
                </wp:positionH>
                <wp:positionV relativeFrom="paragraph">
                  <wp:posOffset>2880045</wp:posOffset>
                </wp:positionV>
                <wp:extent cx="360" cy="360"/>
                <wp:effectExtent l="0" t="0" r="0" b="0"/>
                <wp:wrapNone/>
                <wp:docPr id="1" name="Ink 1"/>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1C52464D" id="Ink 1" o:spid="_x0000_s1026" type="#_x0000_t75" style="position:absolute;margin-left:171.45pt;margin-top:225.6pt;width:2.4pt;height:2.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">
                <v:imagedata r:id="rId9" o:title=""/>
              </v:shape>
            </w:pict>
          </mc:Fallback>
        </mc:AlternateContent>
      </w:r>
      <w:r w:rsidR="00707F6E" w:rsidRPr="00E07FEE">
        <w:rPr>
          <w:i/>
          <w:noProof/>
          <w:sz w:val="24"/>
          <w:szCs w:val="24"/>
          <w:lang w:val="en-CA" w:eastAsia="en-CA"/>
        </w:rPr>
        <w:drawing>
          <wp:inline distT="0" distB="0" distL="0" distR="0" wp14:anchorId="5AB2C2F5" wp14:editId="16EE182F">
            <wp:extent cx="4285714" cy="3104762"/>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85714" cy="3104762"/>
                    </a:xfrm>
                    <a:prstGeom prst="rect">
                      <a:avLst/>
                    </a:prstGeom>
                  </pic:spPr>
                </pic:pic>
              </a:graphicData>
            </a:graphic>
          </wp:inline>
        </w:drawing>
      </w:r>
      <w:r w:rsidRPr="00E07FEE">
        <w:rPr>
          <w:rFonts w:ascii="Arial" w:hAnsi="Arial" w:cs="Arial"/>
          <w:i/>
          <w:sz w:val="24"/>
          <w:szCs w:val="24"/>
        </w:rPr>
        <w:br/>
      </w:r>
      <w:r w:rsidR="00707F6E" w:rsidRPr="00E07FEE">
        <w:rPr>
          <w:rFonts w:ascii="Arial" w:hAnsi="Arial" w:cs="Arial"/>
          <w:i/>
          <w:sz w:val="24"/>
          <w:szCs w:val="24"/>
        </w:rPr>
        <w:t>Figure 11</w:t>
      </w:r>
      <w:r w:rsidR="00224235" w:rsidRPr="00E07FEE">
        <w:rPr>
          <w:rFonts w:ascii="Arial" w:hAnsi="Arial" w:cs="Arial"/>
          <w:i/>
          <w:sz w:val="24"/>
          <w:szCs w:val="24"/>
        </w:rPr>
        <w:t>:</w:t>
      </w:r>
      <w:r w:rsidR="00707F6E" w:rsidRPr="00E07FEE">
        <w:rPr>
          <w:rFonts w:ascii="Arial" w:hAnsi="Arial" w:cs="Arial"/>
          <w:i/>
          <w:sz w:val="24"/>
          <w:szCs w:val="24"/>
        </w:rPr>
        <w:t xml:space="preserve">  Density and Neutron data identify sulphur-bearing cap rock.  Sulphur present in beds identified by diagonal cross-hatching.</w:t>
      </w:r>
    </w:p>
    <w:p w14:paraId="4AD5E080" w14:textId="50CB0B14" w:rsidR="00146549" w:rsidRPr="00500E49" w:rsidRDefault="00146549">
      <w:pPr>
        <w:rPr>
          <w:rFonts w:ascii="Arial" w:hAnsi="Arial" w:cs="Arial"/>
          <w:sz w:val="24"/>
          <w:szCs w:val="24"/>
        </w:rPr>
      </w:pPr>
      <w:r w:rsidRPr="00500E49">
        <w:rPr>
          <w:rFonts w:ascii="Arial" w:hAnsi="Arial" w:cs="Arial"/>
          <w:b/>
          <w:caps/>
          <w:sz w:val="24"/>
          <w:szCs w:val="24"/>
        </w:rPr>
        <w:t>T</w:t>
      </w:r>
      <w:r w:rsidR="00224235" w:rsidRPr="00500E49">
        <w:rPr>
          <w:rFonts w:ascii="Arial" w:hAnsi="Arial" w:cs="Arial"/>
          <w:b/>
          <w:caps/>
          <w:sz w:val="24"/>
          <w:szCs w:val="24"/>
        </w:rPr>
        <w:t>rona Example</w:t>
      </w:r>
      <w:r w:rsidR="00DE46E3" w:rsidRPr="00500E49">
        <w:rPr>
          <w:rFonts w:ascii="Arial" w:hAnsi="Arial" w:cs="Arial"/>
          <w:b/>
          <w:caps/>
          <w:sz w:val="24"/>
          <w:szCs w:val="24"/>
        </w:rPr>
        <w:br/>
      </w:r>
      <w:r w:rsidRPr="00500E49">
        <w:rPr>
          <w:rFonts w:ascii="Arial" w:hAnsi="Arial" w:cs="Arial"/>
          <w:sz w:val="24"/>
          <w:szCs w:val="24"/>
        </w:rPr>
        <w:t>The Green River formation, Sweetwater County, Wyoming, contains beds of trona (Na</w:t>
      </w:r>
      <w:r w:rsidRPr="00500E49">
        <w:rPr>
          <w:rFonts w:ascii="Arial" w:hAnsi="Arial" w:cs="Arial"/>
          <w:sz w:val="24"/>
          <w:szCs w:val="24"/>
          <w:vertAlign w:val="subscript"/>
        </w:rPr>
        <w:t>2</w:t>
      </w:r>
      <w:r w:rsidRPr="00500E49">
        <w:rPr>
          <w:rFonts w:ascii="Arial" w:hAnsi="Arial" w:cs="Arial"/>
          <w:sz w:val="24"/>
          <w:szCs w:val="24"/>
        </w:rPr>
        <w:t>CO</w:t>
      </w:r>
      <w:r w:rsidRPr="00500E49">
        <w:rPr>
          <w:rFonts w:ascii="Arial" w:hAnsi="Arial" w:cs="Arial"/>
          <w:sz w:val="24"/>
          <w:szCs w:val="24"/>
          <w:vertAlign w:val="subscript"/>
        </w:rPr>
        <w:t>3</w:t>
      </w:r>
      <w:r w:rsidRPr="00500E49">
        <w:rPr>
          <w:rFonts w:ascii="Arial" w:hAnsi="Arial" w:cs="Arial"/>
          <w:sz w:val="24"/>
          <w:szCs w:val="24"/>
        </w:rPr>
        <w:t xml:space="preserve"> NaHCO</w:t>
      </w:r>
      <w:r w:rsidRPr="00500E49">
        <w:rPr>
          <w:rFonts w:ascii="Arial" w:hAnsi="Arial" w:cs="Arial"/>
          <w:sz w:val="24"/>
          <w:szCs w:val="24"/>
          <w:vertAlign w:val="subscript"/>
        </w:rPr>
        <w:t>3</w:t>
      </w:r>
      <w:r w:rsidRPr="00500E49">
        <w:rPr>
          <w:rFonts w:ascii="Arial" w:hAnsi="Arial" w:cs="Arial"/>
          <w:sz w:val="24"/>
          <w:szCs w:val="24"/>
        </w:rPr>
        <w:t xml:space="preserve"> 2H</w:t>
      </w:r>
      <w:r w:rsidRPr="00500E49">
        <w:rPr>
          <w:rFonts w:ascii="Arial" w:hAnsi="Arial" w:cs="Arial"/>
          <w:sz w:val="24"/>
          <w:szCs w:val="24"/>
          <w:vertAlign w:val="subscript"/>
        </w:rPr>
        <w:t>2</w:t>
      </w:r>
      <w:r w:rsidRPr="00500E49">
        <w:rPr>
          <w:rFonts w:ascii="Arial" w:hAnsi="Arial" w:cs="Arial"/>
          <w:sz w:val="24"/>
          <w:szCs w:val="24"/>
        </w:rPr>
        <w:t>0).  The properties of this mineral are sufficiently</w:t>
      </w:r>
      <w:r w:rsidR="00CB5534" w:rsidRPr="00500E49">
        <w:rPr>
          <w:rFonts w:ascii="Arial" w:hAnsi="Arial" w:cs="Arial"/>
          <w:sz w:val="24"/>
          <w:szCs w:val="24"/>
        </w:rPr>
        <w:t xml:space="preserve"> different from the surrounding marl formation that electrical logs clearly locate the trona beds.  Figure 12 illustrates this application.  A lithology log based on core description is </w:t>
      </w:r>
      <w:r w:rsidR="00CB5534" w:rsidRPr="00DD010F">
        <w:rPr>
          <w:rFonts w:ascii="Arial" w:hAnsi="Arial" w:cs="Arial"/>
          <w:sz w:val="24"/>
          <w:szCs w:val="24"/>
        </w:rPr>
        <w:t>show</w:t>
      </w:r>
      <w:r w:rsidR="00384EDB" w:rsidRPr="00DD010F">
        <w:rPr>
          <w:rFonts w:ascii="Arial" w:hAnsi="Arial" w:cs="Arial"/>
          <w:sz w:val="24"/>
          <w:szCs w:val="24"/>
        </w:rPr>
        <w:t>n</w:t>
      </w:r>
      <w:r w:rsidR="00CB5534" w:rsidRPr="00500E49">
        <w:rPr>
          <w:rFonts w:ascii="Arial" w:hAnsi="Arial" w:cs="Arial"/>
          <w:sz w:val="24"/>
          <w:szCs w:val="24"/>
        </w:rPr>
        <w:t xml:space="preserve"> on the figure.  The beds of trona are </w:t>
      </w:r>
      <w:r w:rsidR="00CB5534" w:rsidRPr="00DD010F">
        <w:rPr>
          <w:rFonts w:ascii="Arial" w:hAnsi="Arial" w:cs="Arial"/>
          <w:sz w:val="24"/>
          <w:szCs w:val="24"/>
        </w:rPr>
        <w:t>indicate</w:t>
      </w:r>
      <w:r w:rsidR="00384EDB" w:rsidRPr="00DD010F">
        <w:rPr>
          <w:rFonts w:ascii="Arial" w:hAnsi="Arial" w:cs="Arial"/>
          <w:sz w:val="24"/>
          <w:szCs w:val="24"/>
        </w:rPr>
        <w:t>d</w:t>
      </w:r>
      <w:r w:rsidR="00CB5534" w:rsidRPr="00500E49">
        <w:rPr>
          <w:rFonts w:ascii="Arial" w:hAnsi="Arial" w:cs="Arial"/>
          <w:sz w:val="24"/>
          <w:szCs w:val="24"/>
        </w:rPr>
        <w:t xml:space="preserve"> by solid black.  Log characteristics for trona are as follows:</w:t>
      </w:r>
    </w:p>
    <w:p w14:paraId="2D642CA8" w14:textId="05DDA49F" w:rsidR="00CB5534" w:rsidRPr="00500E49" w:rsidRDefault="00CB5534" w:rsidP="00CB5534">
      <w:pPr>
        <w:pStyle w:val="ListParagraph"/>
        <w:numPr>
          <w:ilvl w:val="0"/>
          <w:numId w:val="33"/>
        </w:numPr>
        <w:rPr>
          <w:rFonts w:ascii="Arial" w:hAnsi="Arial" w:cs="Arial"/>
          <w:sz w:val="24"/>
          <w:szCs w:val="24"/>
        </w:rPr>
      </w:pPr>
      <w:r w:rsidRPr="00500E49">
        <w:rPr>
          <w:rFonts w:ascii="Arial" w:hAnsi="Arial" w:cs="Arial"/>
          <w:sz w:val="24"/>
          <w:szCs w:val="24"/>
        </w:rPr>
        <w:t>Gamma Ray indicates low radioactivity (curve to left).</w:t>
      </w:r>
    </w:p>
    <w:p w14:paraId="23012607" w14:textId="197907AB" w:rsidR="00CB5534" w:rsidRPr="00500E49" w:rsidRDefault="00CB5534" w:rsidP="00CB5534">
      <w:pPr>
        <w:pStyle w:val="ListParagraph"/>
        <w:numPr>
          <w:ilvl w:val="0"/>
          <w:numId w:val="33"/>
        </w:numPr>
        <w:rPr>
          <w:rFonts w:ascii="Arial" w:hAnsi="Arial" w:cs="Arial"/>
          <w:sz w:val="24"/>
          <w:szCs w:val="24"/>
        </w:rPr>
      </w:pPr>
      <w:r w:rsidRPr="00500E49">
        <w:rPr>
          <w:rFonts w:ascii="Arial" w:hAnsi="Arial" w:cs="Arial"/>
          <w:sz w:val="24"/>
          <w:szCs w:val="24"/>
        </w:rPr>
        <w:t xml:space="preserve">Caliper shows </w:t>
      </w:r>
      <w:r w:rsidR="00384EDB" w:rsidRPr="00DD010F">
        <w:rPr>
          <w:rFonts w:ascii="Arial" w:hAnsi="Arial" w:cs="Arial"/>
          <w:sz w:val="24"/>
          <w:szCs w:val="24"/>
        </w:rPr>
        <w:t>hole</w:t>
      </w:r>
      <w:r w:rsidRPr="00500E49">
        <w:rPr>
          <w:rFonts w:ascii="Arial" w:hAnsi="Arial" w:cs="Arial"/>
          <w:sz w:val="24"/>
          <w:szCs w:val="24"/>
        </w:rPr>
        <w:t xml:space="preserve"> enlargement (due to solubility of trona).</w:t>
      </w:r>
    </w:p>
    <w:p w14:paraId="49C2E1EC" w14:textId="1CC6B11B" w:rsidR="00CB5534" w:rsidRPr="00500E49" w:rsidRDefault="00CB5534" w:rsidP="00CB5534">
      <w:pPr>
        <w:pStyle w:val="ListParagraph"/>
        <w:numPr>
          <w:ilvl w:val="0"/>
          <w:numId w:val="33"/>
        </w:numPr>
        <w:rPr>
          <w:rFonts w:ascii="Arial" w:hAnsi="Arial" w:cs="Arial"/>
          <w:sz w:val="24"/>
          <w:szCs w:val="24"/>
        </w:rPr>
      </w:pPr>
      <w:r w:rsidRPr="00500E49">
        <w:rPr>
          <w:rFonts w:ascii="Arial" w:hAnsi="Arial" w:cs="Arial"/>
          <w:sz w:val="24"/>
          <w:szCs w:val="24"/>
        </w:rPr>
        <w:t xml:space="preserve">Sonic shows </w:t>
      </w:r>
      <w:r w:rsidR="005E2309">
        <w:rPr>
          <w:rFonts w:ascii="Arial" w:hAnsi="Arial" w:cs="Arial"/>
          <w:sz w:val="24"/>
          <w:szCs w:val="24"/>
        </w:rPr>
        <w:t xml:space="preserve">low </w:t>
      </w:r>
      <w:r w:rsidRPr="00500E49">
        <w:rPr>
          <w:rFonts w:ascii="Arial" w:hAnsi="Arial" w:cs="Arial"/>
          <w:sz w:val="24"/>
          <w:szCs w:val="24"/>
        </w:rPr>
        <w:sym w:font="Wingdings 3" w:char="F072"/>
      </w:r>
      <w:r w:rsidRPr="00500E49">
        <w:rPr>
          <w:rFonts w:ascii="Arial" w:hAnsi="Arial" w:cs="Arial"/>
          <w:sz w:val="24"/>
          <w:szCs w:val="24"/>
        </w:rPr>
        <w:t xml:space="preserve"> t (this could also be due to limy streaks).</w:t>
      </w:r>
    </w:p>
    <w:p w14:paraId="75FC9D00" w14:textId="126ADB1A" w:rsidR="00CB5534" w:rsidRPr="00500E49" w:rsidRDefault="00CB5534" w:rsidP="00CB5534">
      <w:pPr>
        <w:pStyle w:val="ListParagraph"/>
        <w:numPr>
          <w:ilvl w:val="0"/>
          <w:numId w:val="33"/>
        </w:numPr>
        <w:rPr>
          <w:rFonts w:ascii="Arial" w:hAnsi="Arial" w:cs="Arial"/>
          <w:sz w:val="24"/>
          <w:szCs w:val="24"/>
        </w:rPr>
      </w:pPr>
      <w:r w:rsidRPr="00500E49">
        <w:rPr>
          <w:rFonts w:ascii="Arial" w:hAnsi="Arial" w:cs="Arial"/>
          <w:sz w:val="24"/>
          <w:szCs w:val="24"/>
        </w:rPr>
        <w:t xml:space="preserve">Neutron shows high </w:t>
      </w:r>
      <w:r w:rsidR="00384EDB" w:rsidRPr="00DD010F">
        <w:rPr>
          <w:rFonts w:ascii="Symbol" w:hAnsi="Symbol" w:cs="Adobe Devanagari"/>
          <w:sz w:val="28"/>
          <w:szCs w:val="28"/>
        </w:rPr>
        <w:t></w:t>
      </w:r>
      <w:r w:rsidRPr="00500E49">
        <w:rPr>
          <w:rFonts w:ascii="Adobe Devanagari" w:hAnsi="Adobe Devanagari" w:cs="Adobe Devanagari"/>
          <w:sz w:val="24"/>
          <w:szCs w:val="24"/>
        </w:rPr>
        <w:t xml:space="preserve"> </w:t>
      </w:r>
      <w:r w:rsidRPr="00500E49">
        <w:rPr>
          <w:rFonts w:ascii="Arial" w:hAnsi="Arial" w:cs="Arial"/>
          <w:sz w:val="24"/>
          <w:szCs w:val="24"/>
        </w:rPr>
        <w:t>N, due to water of hydration.  (This eliminates the limy streaks)</w:t>
      </w:r>
    </w:p>
    <w:p w14:paraId="1C0FB970" w14:textId="39C3A9C3" w:rsidR="00A622F2" w:rsidRPr="00500E49" w:rsidRDefault="00CB5534">
      <w:pPr>
        <w:rPr>
          <w:rFonts w:ascii="Arial" w:hAnsi="Arial" w:cs="Arial"/>
          <w:sz w:val="24"/>
          <w:szCs w:val="24"/>
        </w:rPr>
      </w:pPr>
      <w:r w:rsidRPr="00500E49">
        <w:rPr>
          <w:rFonts w:ascii="Arial" w:hAnsi="Arial" w:cs="Arial"/>
          <w:sz w:val="24"/>
          <w:szCs w:val="24"/>
        </w:rPr>
        <w:t xml:space="preserve">The density log is potentially useful, since the bulk density of trona is very low (approximately 2.10 gm/cc).  However, the wall rugosity noted would limit the value of the log.  If a well is drilled with oil-base mud, or with air, the hole size should remain more to gauge and the density log would be more useful and reliable. </w:t>
      </w:r>
    </w:p>
    <w:p w14:paraId="71E9CF35" w14:textId="4271B333" w:rsidR="00A622F2" w:rsidRPr="00E07FEE" w:rsidRDefault="00CB5534" w:rsidP="00E07FEE">
      <w:pPr>
        <w:jc w:val="center"/>
        <w:rPr>
          <w:rFonts w:ascii="Arial" w:hAnsi="Arial" w:cs="Arial"/>
          <w:i/>
          <w:sz w:val="24"/>
          <w:szCs w:val="24"/>
        </w:rPr>
      </w:pPr>
      <w:r w:rsidRPr="00E07FEE">
        <w:rPr>
          <w:i/>
          <w:noProof/>
          <w:sz w:val="24"/>
          <w:szCs w:val="24"/>
          <w:lang w:val="en-CA" w:eastAsia="en-CA"/>
        </w:rPr>
        <w:lastRenderedPageBreak/>
        <w:drawing>
          <wp:inline distT="0" distB="0" distL="0" distR="0" wp14:anchorId="40076BDE" wp14:editId="77C20D4B">
            <wp:extent cx="4047619" cy="432380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47619" cy="4323809"/>
                    </a:xfrm>
                    <a:prstGeom prst="rect">
                      <a:avLst/>
                    </a:prstGeom>
                  </pic:spPr>
                </pic:pic>
              </a:graphicData>
            </a:graphic>
          </wp:inline>
        </w:drawing>
      </w:r>
      <w:r w:rsidR="00DE46E3" w:rsidRPr="00E07FEE">
        <w:rPr>
          <w:rFonts w:ascii="Arial" w:hAnsi="Arial" w:cs="Arial"/>
          <w:i/>
          <w:sz w:val="24"/>
          <w:szCs w:val="24"/>
        </w:rPr>
        <w:br/>
      </w:r>
      <w:r w:rsidRPr="00E07FEE">
        <w:rPr>
          <w:rFonts w:ascii="Arial" w:hAnsi="Arial" w:cs="Arial"/>
          <w:i/>
          <w:sz w:val="24"/>
          <w:szCs w:val="24"/>
        </w:rPr>
        <w:t>Figure 12</w:t>
      </w:r>
      <w:r w:rsidR="00DE46E3" w:rsidRPr="00E07FEE">
        <w:rPr>
          <w:rFonts w:ascii="Arial" w:hAnsi="Arial" w:cs="Arial"/>
          <w:i/>
          <w:sz w:val="24"/>
          <w:szCs w:val="24"/>
        </w:rPr>
        <w:t>:</w:t>
      </w:r>
      <w:r w:rsidRPr="00E07FEE">
        <w:rPr>
          <w:rFonts w:ascii="Arial" w:hAnsi="Arial" w:cs="Arial"/>
          <w:i/>
          <w:sz w:val="24"/>
          <w:szCs w:val="24"/>
        </w:rPr>
        <w:t xml:space="preserve"> Beds of Trona identified by logs.</w:t>
      </w:r>
    </w:p>
    <w:p w14:paraId="0B2042B0" w14:textId="29F74ABC" w:rsidR="00A622F2" w:rsidRPr="00500E49" w:rsidRDefault="00A622F2">
      <w:pPr>
        <w:rPr>
          <w:rFonts w:ascii="Arial" w:hAnsi="Arial" w:cs="Arial"/>
          <w:sz w:val="24"/>
          <w:szCs w:val="24"/>
        </w:rPr>
      </w:pPr>
    </w:p>
    <w:p w14:paraId="110043BE" w14:textId="52F2E29B" w:rsidR="00A622F2" w:rsidRPr="00E07FEE" w:rsidRDefault="00CB5534" w:rsidP="00886E45">
      <w:pPr>
        <w:rPr>
          <w:rFonts w:ascii="Arial" w:hAnsi="Arial" w:cs="Arial"/>
          <w:i/>
          <w:sz w:val="24"/>
          <w:szCs w:val="24"/>
        </w:rPr>
      </w:pPr>
      <w:r w:rsidRPr="00500E49">
        <w:rPr>
          <w:rFonts w:ascii="Arial" w:hAnsi="Arial" w:cs="Arial"/>
          <w:b/>
          <w:sz w:val="24"/>
          <w:szCs w:val="24"/>
        </w:rPr>
        <w:t>SYLVITE, HALITE, CARNALLITE</w:t>
      </w:r>
      <w:r w:rsidR="00AC32D6" w:rsidRPr="00500E49">
        <w:rPr>
          <w:rFonts w:ascii="Arial" w:hAnsi="Arial" w:cs="Arial"/>
          <w:b/>
          <w:sz w:val="24"/>
          <w:szCs w:val="24"/>
        </w:rPr>
        <w:t xml:space="preserve"> EXAMPLE</w:t>
      </w:r>
      <w:r w:rsidR="00AC32D6" w:rsidRPr="00500E49">
        <w:rPr>
          <w:rFonts w:ascii="Arial" w:hAnsi="Arial" w:cs="Arial"/>
          <w:b/>
          <w:sz w:val="24"/>
          <w:szCs w:val="24"/>
        </w:rPr>
        <w:br/>
      </w:r>
      <w:r w:rsidRPr="00500E49">
        <w:rPr>
          <w:rFonts w:ascii="Arial" w:hAnsi="Arial" w:cs="Arial"/>
          <w:sz w:val="24"/>
          <w:szCs w:val="24"/>
        </w:rPr>
        <w:t xml:space="preserve">An example of quantitative use of the density and neutron logs to evaluate potash-bearing evaporites in Saskatchewan was shown in a previously cited paper (Raymer and Biggs, 1963, p. </w:t>
      </w:r>
      <w:r w:rsidRPr="005B1BB4">
        <w:rPr>
          <w:rFonts w:ascii="Arial" w:hAnsi="Arial" w:cs="Arial"/>
          <w:sz w:val="24"/>
          <w:szCs w:val="24"/>
        </w:rPr>
        <w:t>X-19</w:t>
      </w:r>
      <w:r w:rsidRPr="00500E49">
        <w:rPr>
          <w:rFonts w:ascii="Arial" w:hAnsi="Arial" w:cs="Arial"/>
          <w:sz w:val="24"/>
          <w:szCs w:val="24"/>
        </w:rPr>
        <w:t>).  Figure 13 shows the logs and Fig. 14 the interpretation chart.  The positions of the plotted levels indicate the relative abundance of the minerals present.  The results are in good agreement with the geologist’s description of cores taken in this well.</w:t>
      </w:r>
    </w:p>
    <w:p w14:paraId="1E230D58" w14:textId="642E7CE5" w:rsidR="00A622F2" w:rsidRPr="00500E49" w:rsidRDefault="00ED455D" w:rsidP="00E07FEE">
      <w:pPr>
        <w:jc w:val="center"/>
        <w:rPr>
          <w:rFonts w:ascii="Arial" w:hAnsi="Arial" w:cs="Arial"/>
          <w:sz w:val="24"/>
          <w:szCs w:val="24"/>
        </w:rPr>
      </w:pPr>
      <w:r w:rsidRPr="00E07FEE">
        <w:rPr>
          <w:i/>
          <w:noProof/>
          <w:sz w:val="24"/>
          <w:szCs w:val="24"/>
          <w:lang w:val="en-CA" w:eastAsia="en-CA"/>
        </w:rPr>
        <w:lastRenderedPageBreak/>
        <w:drawing>
          <wp:inline distT="0" distB="0" distL="0" distR="0" wp14:anchorId="1BD44E59" wp14:editId="3ACE5E03">
            <wp:extent cx="4000000" cy="3276190"/>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00000" cy="3276190"/>
                    </a:xfrm>
                    <a:prstGeom prst="rect">
                      <a:avLst/>
                    </a:prstGeom>
                  </pic:spPr>
                </pic:pic>
              </a:graphicData>
            </a:graphic>
          </wp:inline>
        </w:drawing>
      </w:r>
      <w:r w:rsidR="00BF17DD" w:rsidRPr="00E07FEE">
        <w:rPr>
          <w:rFonts w:ascii="Arial" w:hAnsi="Arial" w:cs="Arial"/>
          <w:i/>
          <w:sz w:val="24"/>
          <w:szCs w:val="24"/>
        </w:rPr>
        <w:br/>
      </w:r>
      <w:r w:rsidRPr="00E07FEE">
        <w:rPr>
          <w:rFonts w:ascii="Arial" w:hAnsi="Arial" w:cs="Arial"/>
          <w:i/>
          <w:sz w:val="24"/>
          <w:szCs w:val="24"/>
        </w:rPr>
        <w:t>Figure 13</w:t>
      </w:r>
      <w:r w:rsidR="00AC32D6" w:rsidRPr="00E07FEE">
        <w:rPr>
          <w:rFonts w:ascii="Arial" w:hAnsi="Arial" w:cs="Arial"/>
          <w:i/>
          <w:sz w:val="24"/>
          <w:szCs w:val="24"/>
        </w:rPr>
        <w:t>:</w:t>
      </w:r>
      <w:r w:rsidRPr="00E07FEE">
        <w:rPr>
          <w:rFonts w:ascii="Arial" w:hAnsi="Arial" w:cs="Arial"/>
          <w:i/>
          <w:sz w:val="24"/>
          <w:szCs w:val="24"/>
        </w:rPr>
        <w:t xml:space="preserve">  Logs recorded through potash-bearing evaporite beds.</w:t>
      </w:r>
    </w:p>
    <w:p w14:paraId="6BFA38A3" w14:textId="77777777" w:rsidR="00802393" w:rsidRPr="00E07FEE" w:rsidRDefault="00802393" w:rsidP="00E07FEE">
      <w:pPr>
        <w:jc w:val="center"/>
        <w:rPr>
          <w:rFonts w:ascii="Arial" w:hAnsi="Arial" w:cs="Arial"/>
          <w:i/>
          <w:sz w:val="24"/>
          <w:szCs w:val="24"/>
        </w:rPr>
      </w:pPr>
    </w:p>
    <w:p w14:paraId="2AFA8F65" w14:textId="7B0B0F27" w:rsidR="00A622F2" w:rsidRPr="00500E49" w:rsidRDefault="00802393" w:rsidP="00E07FEE">
      <w:pPr>
        <w:jc w:val="center"/>
        <w:rPr>
          <w:rFonts w:ascii="Arial" w:hAnsi="Arial" w:cs="Arial"/>
          <w:sz w:val="24"/>
          <w:szCs w:val="24"/>
        </w:rPr>
      </w:pPr>
      <w:r w:rsidRPr="00E07FEE">
        <w:rPr>
          <w:i/>
          <w:noProof/>
          <w:sz w:val="24"/>
          <w:szCs w:val="24"/>
          <w:lang w:val="en-CA" w:eastAsia="en-CA"/>
        </w:rPr>
        <w:drawing>
          <wp:inline distT="0" distB="0" distL="0" distR="0" wp14:anchorId="7583A4AE" wp14:editId="5651A098">
            <wp:extent cx="4485714" cy="323809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5714" cy="3238095"/>
                    </a:xfrm>
                    <a:prstGeom prst="rect">
                      <a:avLst/>
                    </a:prstGeom>
                  </pic:spPr>
                </pic:pic>
              </a:graphicData>
            </a:graphic>
          </wp:inline>
        </w:drawing>
      </w:r>
      <w:r w:rsidR="00BF17DD" w:rsidRPr="00E07FEE">
        <w:rPr>
          <w:rFonts w:ascii="Arial" w:hAnsi="Arial" w:cs="Arial"/>
          <w:i/>
          <w:sz w:val="24"/>
          <w:szCs w:val="24"/>
        </w:rPr>
        <w:br/>
      </w:r>
      <w:r w:rsidRPr="00E07FEE">
        <w:rPr>
          <w:rFonts w:ascii="Arial" w:hAnsi="Arial" w:cs="Arial"/>
          <w:i/>
          <w:sz w:val="24"/>
          <w:szCs w:val="24"/>
        </w:rPr>
        <w:t>Figure 14</w:t>
      </w:r>
      <w:r w:rsidR="00AC32D6" w:rsidRPr="00E07FEE">
        <w:rPr>
          <w:rFonts w:ascii="Arial" w:hAnsi="Arial" w:cs="Arial"/>
          <w:i/>
          <w:sz w:val="24"/>
          <w:szCs w:val="24"/>
        </w:rPr>
        <w:t>:</w:t>
      </w:r>
      <w:r w:rsidRPr="00E07FEE">
        <w:rPr>
          <w:rFonts w:ascii="Arial" w:hAnsi="Arial" w:cs="Arial"/>
          <w:i/>
          <w:sz w:val="24"/>
          <w:szCs w:val="24"/>
        </w:rPr>
        <w:t xml:space="preserve"> Cross-plot of density vs. neutron identifies evaporite minerals (data from logs </w:t>
      </w:r>
      <w:r w:rsidRPr="00BC4348">
        <w:rPr>
          <w:rFonts w:ascii="Arial" w:hAnsi="Arial" w:cs="Arial"/>
          <w:i/>
          <w:iCs/>
          <w:sz w:val="24"/>
          <w:szCs w:val="24"/>
        </w:rPr>
        <w:t>in Figure 13).</w:t>
      </w:r>
    </w:p>
    <w:p w14:paraId="4764E256" w14:textId="77777777" w:rsidR="00802393" w:rsidRPr="00500E49" w:rsidRDefault="00802393">
      <w:pPr>
        <w:rPr>
          <w:rFonts w:ascii="Arial" w:hAnsi="Arial" w:cs="Arial"/>
          <w:sz w:val="24"/>
          <w:szCs w:val="24"/>
        </w:rPr>
      </w:pPr>
    </w:p>
    <w:p w14:paraId="0665CD11" w14:textId="0A78B090" w:rsidR="00A622F2" w:rsidRPr="00500E49" w:rsidRDefault="00A622F2">
      <w:pPr>
        <w:rPr>
          <w:rFonts w:ascii="Arial" w:hAnsi="Arial" w:cs="Arial"/>
          <w:sz w:val="24"/>
          <w:szCs w:val="24"/>
        </w:rPr>
      </w:pPr>
    </w:p>
    <w:p w14:paraId="25E15ABD" w14:textId="01A5CD39" w:rsidR="00F41728" w:rsidRDefault="00802393">
      <w:pPr>
        <w:rPr>
          <w:rFonts w:ascii="Arial" w:hAnsi="Arial" w:cs="Arial"/>
          <w:sz w:val="24"/>
          <w:szCs w:val="24"/>
        </w:rPr>
      </w:pPr>
      <w:r w:rsidRPr="00500E49">
        <w:rPr>
          <w:rFonts w:ascii="Arial" w:hAnsi="Arial" w:cs="Arial"/>
          <w:sz w:val="24"/>
          <w:szCs w:val="24"/>
        </w:rPr>
        <w:lastRenderedPageBreak/>
        <w:t>When the evaporite salts contain potassium, the presences of the radioactive isotope K</w:t>
      </w:r>
      <w:r w:rsidRPr="00500E49">
        <w:rPr>
          <w:rFonts w:ascii="Arial" w:hAnsi="Arial" w:cs="Arial"/>
          <w:sz w:val="24"/>
          <w:szCs w:val="24"/>
          <w:vertAlign w:val="superscript"/>
        </w:rPr>
        <w:t>40</w:t>
      </w:r>
      <w:r w:rsidRPr="00500E49">
        <w:rPr>
          <w:rFonts w:ascii="Arial" w:hAnsi="Arial" w:cs="Arial"/>
          <w:sz w:val="24"/>
          <w:szCs w:val="24"/>
        </w:rPr>
        <w:t xml:space="preserve"> (constituting about </w:t>
      </w:r>
      <w:r w:rsidR="00DC4B54">
        <w:rPr>
          <w:rFonts w:ascii="Arial" w:hAnsi="Arial" w:cs="Arial"/>
          <w:sz w:val="24"/>
          <w:szCs w:val="24"/>
        </w:rPr>
        <w:t>0</w:t>
      </w:r>
      <w:r w:rsidRPr="00500E49">
        <w:rPr>
          <w:rFonts w:ascii="Arial" w:hAnsi="Arial" w:cs="Arial"/>
          <w:sz w:val="24"/>
          <w:szCs w:val="24"/>
        </w:rPr>
        <w:t>.012% of the naturally-occurring potassium) can be detected by a gamma ray log.  From empirical studies – involving assayed values of K</w:t>
      </w:r>
      <w:r w:rsidRPr="00500E49">
        <w:rPr>
          <w:rFonts w:ascii="Arial" w:hAnsi="Arial" w:cs="Arial"/>
          <w:sz w:val="24"/>
          <w:szCs w:val="24"/>
          <w:vertAlign w:val="subscript"/>
        </w:rPr>
        <w:t>2</w:t>
      </w:r>
      <w:r w:rsidRPr="00500E49">
        <w:rPr>
          <w:rFonts w:ascii="Arial" w:hAnsi="Arial" w:cs="Arial"/>
          <w:sz w:val="24"/>
          <w:szCs w:val="24"/>
        </w:rPr>
        <w:t>0, hole diameter, type of borehole fluid, and type of sonde – curves relating gamma ray deflection to K</w:t>
      </w:r>
      <w:r w:rsidRPr="00500E49">
        <w:rPr>
          <w:rFonts w:ascii="Arial" w:hAnsi="Arial" w:cs="Arial"/>
          <w:sz w:val="24"/>
          <w:szCs w:val="24"/>
          <w:vertAlign w:val="subscript"/>
        </w:rPr>
        <w:t>2</w:t>
      </w:r>
      <w:r w:rsidRPr="00500E49">
        <w:rPr>
          <w:rFonts w:ascii="Arial" w:hAnsi="Arial" w:cs="Arial"/>
          <w:sz w:val="24"/>
          <w:szCs w:val="24"/>
        </w:rPr>
        <w:t>0 have been developed (Fig. 15</w:t>
      </w:r>
      <w:r w:rsidR="00935862" w:rsidRPr="00500E49">
        <w:rPr>
          <w:rFonts w:ascii="Arial" w:hAnsi="Arial" w:cs="Arial"/>
          <w:sz w:val="24"/>
          <w:szCs w:val="24"/>
        </w:rPr>
        <w:t xml:space="preserve"> Crain and Anderson, 1966)</w:t>
      </w:r>
      <w:r w:rsidRPr="00500E49">
        <w:rPr>
          <w:rFonts w:ascii="Arial" w:hAnsi="Arial" w:cs="Arial"/>
          <w:sz w:val="24"/>
          <w:szCs w:val="24"/>
        </w:rPr>
        <w:t xml:space="preserve">.  Another means is thus available for mineral identification, </w:t>
      </w:r>
      <w:r w:rsidR="005F1546" w:rsidRPr="00CF7650">
        <w:rPr>
          <w:rFonts w:ascii="Arial" w:hAnsi="Arial" w:cs="Arial"/>
          <w:sz w:val="24"/>
          <w:szCs w:val="24"/>
        </w:rPr>
        <w:t>since</w:t>
      </w:r>
      <w:r w:rsidRPr="005F1546">
        <w:rPr>
          <w:rFonts w:ascii="Arial" w:hAnsi="Arial" w:cs="Arial"/>
          <w:color w:val="FF0000"/>
          <w:sz w:val="24"/>
          <w:szCs w:val="24"/>
        </w:rPr>
        <w:t xml:space="preserve"> </w:t>
      </w:r>
      <w:r w:rsidRPr="00500E49">
        <w:rPr>
          <w:rFonts w:ascii="Arial" w:hAnsi="Arial" w:cs="Arial"/>
          <w:sz w:val="24"/>
          <w:szCs w:val="24"/>
        </w:rPr>
        <w:t>for potassium minerals the gamma ray response for the pure mineral can be calculated from the K</w:t>
      </w:r>
      <w:r w:rsidRPr="00500E49">
        <w:rPr>
          <w:rFonts w:ascii="Arial" w:hAnsi="Arial" w:cs="Arial"/>
          <w:sz w:val="24"/>
          <w:szCs w:val="24"/>
          <w:vertAlign w:val="subscript"/>
        </w:rPr>
        <w:t>2</w:t>
      </w:r>
      <w:r w:rsidRPr="00500E49">
        <w:rPr>
          <w:rFonts w:ascii="Arial" w:hAnsi="Arial" w:cs="Arial"/>
          <w:sz w:val="24"/>
          <w:szCs w:val="24"/>
        </w:rPr>
        <w:t>0 content (see Table 1).  Figure 13 shows that high gamma ray deflections occur at many levels.</w:t>
      </w:r>
    </w:p>
    <w:p w14:paraId="253BFEF1" w14:textId="77777777" w:rsidR="00F41728" w:rsidRDefault="00F41728">
      <w:pPr>
        <w:rPr>
          <w:rFonts w:ascii="Arial" w:hAnsi="Arial" w:cs="Arial"/>
          <w:sz w:val="24"/>
          <w:szCs w:val="24"/>
        </w:rPr>
      </w:pPr>
    </w:p>
    <w:p w14:paraId="215D0BBE" w14:textId="316175CA" w:rsidR="00BC4348" w:rsidRPr="00E07FEE" w:rsidRDefault="006D7669" w:rsidP="00BC4348">
      <w:pPr>
        <w:jc w:val="center"/>
        <w:rPr>
          <w:rFonts w:ascii="Arial" w:hAnsi="Arial" w:cs="Arial"/>
          <w:i/>
          <w:sz w:val="24"/>
          <w:szCs w:val="24"/>
        </w:rPr>
      </w:pPr>
      <w:r>
        <w:rPr>
          <w:i/>
          <w:noProof/>
          <w:sz w:val="24"/>
          <w:szCs w:val="24"/>
          <w:lang w:val="en-CA" w:eastAsia="en-CA"/>
        </w:rPr>
        <mc:AlternateContent>
          <mc:Choice Requires="wpi">
            <w:drawing>
              <wp:anchor distT="0" distB="0" distL="114300" distR="114300" simplePos="0" relativeHeight="251666432" behindDoc="0" locked="0" layoutInCell="1" allowOverlap="1" wp14:anchorId="648DA53F" wp14:editId="509397D2">
                <wp:simplePos x="0" y="0"/>
                <wp:positionH relativeFrom="column">
                  <wp:posOffset>3619560</wp:posOffset>
                </wp:positionH>
                <wp:positionV relativeFrom="paragraph">
                  <wp:posOffset>99120</wp:posOffset>
                </wp:positionV>
                <wp:extent cx="360" cy="360"/>
                <wp:effectExtent l="0" t="0" r="0" b="0"/>
                <wp:wrapNone/>
                <wp:docPr id="28" name="Ink 28"/>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302C0B1B" id="Ink 28" o:spid="_x0000_s1026" type="#_x0000_t75" style="position:absolute;margin-left:283.8pt;margin-top:6.6pt;width:2.4pt;height:2.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">
                <v:imagedata r:id="rId9" o:title=""/>
              </v:shape>
            </w:pict>
          </mc:Fallback>
        </mc:AlternateContent>
      </w:r>
      <w:r>
        <w:rPr>
          <w:i/>
          <w:noProof/>
          <w:sz w:val="24"/>
          <w:szCs w:val="24"/>
          <w:lang w:val="en-CA" w:eastAsia="en-CA"/>
        </w:rPr>
        <mc:AlternateContent>
          <mc:Choice Requires="wpi">
            <w:drawing>
              <wp:anchor distT="0" distB="0" distL="114300" distR="114300" simplePos="0" relativeHeight="251665408" behindDoc="0" locked="0" layoutInCell="1" allowOverlap="1" wp14:anchorId="5D54BFCE" wp14:editId="676D942E">
                <wp:simplePos x="0" y="0"/>
                <wp:positionH relativeFrom="column">
                  <wp:posOffset>3627120</wp:posOffset>
                </wp:positionH>
                <wp:positionV relativeFrom="paragraph">
                  <wp:posOffset>175080</wp:posOffset>
                </wp:positionV>
                <wp:extent cx="360" cy="360"/>
                <wp:effectExtent l="0" t="0" r="0" b="0"/>
                <wp:wrapNone/>
                <wp:docPr id="26" name="Ink 26"/>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2DE0B713" id="Ink 26" o:spid="_x0000_s1026" type="#_x0000_t75" style="position:absolute;margin-left:284.4pt;margin-top:12.6pt;width:2.4pt;height:2.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">
                <v:imagedata r:id="rId9" o:title=""/>
              </v:shape>
            </w:pict>
          </mc:Fallback>
        </mc:AlternateContent>
      </w:r>
      <w:r>
        <w:rPr>
          <w:i/>
          <w:noProof/>
          <w:sz w:val="24"/>
          <w:szCs w:val="24"/>
          <w:lang w:val="en-CA" w:eastAsia="en-CA"/>
        </w:rPr>
        <mc:AlternateContent>
          <mc:Choice Requires="wpi">
            <w:drawing>
              <wp:anchor distT="0" distB="0" distL="114300" distR="114300" simplePos="0" relativeHeight="251664384" behindDoc="0" locked="0" layoutInCell="1" allowOverlap="1" wp14:anchorId="4C45D1C0" wp14:editId="71DA9847">
                <wp:simplePos x="0" y="0"/>
                <wp:positionH relativeFrom="column">
                  <wp:posOffset>3476640</wp:posOffset>
                </wp:positionH>
                <wp:positionV relativeFrom="paragraph">
                  <wp:posOffset>258960</wp:posOffset>
                </wp:positionV>
                <wp:extent cx="360" cy="360"/>
                <wp:effectExtent l="0" t="0" r="0" b="0"/>
                <wp:wrapNone/>
                <wp:docPr id="25" name="Ink 25"/>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2D048E2B" id="Ink 25" o:spid="_x0000_s1026" type="#_x0000_t75" style="position:absolute;margin-left:272.55pt;margin-top:19.2pt;width:2.4pt;height:2.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">
                <v:imagedata r:id="rId9" o:title=""/>
              </v:shape>
            </w:pict>
          </mc:Fallback>
        </mc:AlternateContent>
      </w:r>
      <w:r>
        <w:rPr>
          <w:i/>
          <w:noProof/>
          <w:sz w:val="24"/>
          <w:szCs w:val="24"/>
          <w:lang w:val="en-CA" w:eastAsia="en-CA"/>
        </w:rPr>
        <mc:AlternateContent>
          <mc:Choice Requires="wpi">
            <w:drawing>
              <wp:anchor distT="0" distB="0" distL="114300" distR="114300" simplePos="0" relativeHeight="251662336" behindDoc="0" locked="0" layoutInCell="1" allowOverlap="1" wp14:anchorId="3AE0E046" wp14:editId="54475C7D">
                <wp:simplePos x="0" y="0"/>
                <wp:positionH relativeFrom="column">
                  <wp:posOffset>3590760</wp:posOffset>
                </wp:positionH>
                <wp:positionV relativeFrom="paragraph">
                  <wp:posOffset>307920</wp:posOffset>
                </wp:positionV>
                <wp:extent cx="360" cy="360"/>
                <wp:effectExtent l="0" t="0" r="0" b="0"/>
                <wp:wrapNone/>
                <wp:docPr id="23" name="Ink 23"/>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032713E5" id="Ink 23" o:spid="_x0000_s1026" type="#_x0000_t75" style="position:absolute;margin-left:281.55pt;margin-top:23.05pt;width:2.4pt;height:2.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">
                <v:imagedata r:id="rId9" o:title=""/>
              </v:shape>
            </w:pict>
          </mc:Fallback>
        </mc:AlternateContent>
      </w:r>
      <w:r>
        <w:rPr>
          <w:i/>
          <w:noProof/>
          <w:sz w:val="24"/>
          <w:szCs w:val="24"/>
          <w:lang w:val="en-CA" w:eastAsia="en-CA"/>
        </w:rPr>
        <mc:AlternateContent>
          <mc:Choice Requires="wpi">
            <w:drawing>
              <wp:anchor distT="0" distB="0" distL="114300" distR="114300" simplePos="0" relativeHeight="251661312" behindDoc="0" locked="0" layoutInCell="1" allowOverlap="1" wp14:anchorId="693B7E4E" wp14:editId="3819CB28">
                <wp:simplePos x="0" y="0"/>
                <wp:positionH relativeFrom="column">
                  <wp:posOffset>1064280</wp:posOffset>
                </wp:positionH>
                <wp:positionV relativeFrom="paragraph">
                  <wp:posOffset>773760</wp:posOffset>
                </wp:positionV>
                <wp:extent cx="360" cy="5760"/>
                <wp:effectExtent l="0" t="0" r="0" b="0"/>
                <wp:wrapNone/>
                <wp:docPr id="21" name="Ink 21"/>
                <wp:cNvGraphicFramePr/>
                <a:graphic xmlns:a="http://schemas.openxmlformats.org/drawingml/2006/main">
                  <a:graphicData uri="http://schemas.microsoft.com/office/word/2010/wordprocessingInk">
                    <w14:contentPart bwMode="auto" r:id="rId30">
                      <w14:nvContentPartPr>
                        <w14:cNvContentPartPr/>
                      </w14:nvContentPartPr>
                      <w14:xfrm>
                        <a:off x="0" y="0"/>
                        <a:ext cx="360" cy="5760"/>
                      </w14:xfrm>
                    </w14:contentPart>
                  </a:graphicData>
                </a:graphic>
              </wp:anchor>
            </w:drawing>
          </mc:Choice>
          <mc:Fallback>
            <w:pict>
              <v:shape w14:anchorId="4B07F7E9" id="Ink 21" o:spid="_x0000_s1026" type="#_x0000_t75" style="position:absolute;margin-left:82.6pt;margin-top:59.75pt;width:2.4pt;height:2.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">
                <v:imagedata r:id="rId31" o:title=""/>
              </v:shape>
            </w:pict>
          </mc:Fallback>
        </mc:AlternateContent>
      </w:r>
      <w:r w:rsidR="00FA0A4A" w:rsidRPr="00E07FEE">
        <w:rPr>
          <w:i/>
          <w:noProof/>
          <w:sz w:val="24"/>
          <w:szCs w:val="24"/>
          <w:lang w:val="en-CA" w:eastAsia="en-CA"/>
        </w:rPr>
        <w:drawing>
          <wp:inline distT="0" distB="0" distL="0" distR="0" wp14:anchorId="5B491F1A" wp14:editId="1F3B043C">
            <wp:extent cx="3375660" cy="240008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80580" cy="2403586"/>
                    </a:xfrm>
                    <a:prstGeom prst="rect">
                      <a:avLst/>
                    </a:prstGeom>
                  </pic:spPr>
                </pic:pic>
              </a:graphicData>
            </a:graphic>
          </wp:inline>
        </w:drawing>
      </w:r>
      <w:r w:rsidR="00FA0A4A" w:rsidRPr="00E07FEE">
        <w:rPr>
          <w:rFonts w:ascii="Arial" w:hAnsi="Arial" w:cs="Arial"/>
          <w:i/>
          <w:sz w:val="24"/>
          <w:szCs w:val="24"/>
        </w:rPr>
        <w:br/>
        <w:t>Figure 15: Empirical Chart relating gamma ray deflection to potassium content.</w:t>
      </w:r>
      <w:r w:rsidR="00F41728">
        <w:rPr>
          <w:rFonts w:ascii="Arial" w:hAnsi="Arial" w:cs="Arial"/>
          <w:i/>
          <w:sz w:val="24"/>
          <w:szCs w:val="24"/>
        </w:rPr>
        <w:br/>
      </w:r>
      <w:r w:rsidR="00F41728">
        <w:rPr>
          <w:rFonts w:ascii="Arial" w:hAnsi="Arial" w:cs="Arial"/>
          <w:i/>
          <w:sz w:val="24"/>
          <w:szCs w:val="24"/>
        </w:rPr>
        <w:br/>
      </w:r>
      <w:r w:rsidR="00F41728">
        <w:rPr>
          <w:rFonts w:ascii="Arial" w:hAnsi="Arial" w:cs="Arial"/>
          <w:i/>
          <w:noProof/>
          <w:sz w:val="24"/>
          <w:szCs w:val="24"/>
          <w:lang w:val="en-CA" w:eastAsia="en-CA"/>
        </w:rPr>
        <w:drawing>
          <wp:inline distT="0" distB="0" distL="0" distR="0" wp14:anchorId="1627BAD3" wp14:editId="27FD0143">
            <wp:extent cx="3086100" cy="3131820"/>
            <wp:effectExtent l="0" t="0" r="0" b="0"/>
            <wp:docPr id="29" name="Picture 29" descr="C:\ERC IP Tech Papers\1966-2 Defining Evaporite Deposites With Electrical Well Logs  NOGS-SALT Alger-Crain\Fi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C IP Tech Papers\1966-2 Defining Evaporite Deposites With Electrical Well Logs  NOGS-SALT Alger-Crain\Fig1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6100" cy="3131820"/>
                    </a:xfrm>
                    <a:prstGeom prst="rect">
                      <a:avLst/>
                    </a:prstGeom>
                    <a:noFill/>
                    <a:ln>
                      <a:noFill/>
                    </a:ln>
                  </pic:spPr>
                </pic:pic>
              </a:graphicData>
            </a:graphic>
          </wp:inline>
        </w:drawing>
      </w:r>
      <w:r w:rsidR="00F41728">
        <w:rPr>
          <w:rFonts w:ascii="Arial" w:hAnsi="Arial" w:cs="Arial"/>
          <w:i/>
          <w:sz w:val="24"/>
          <w:szCs w:val="24"/>
        </w:rPr>
        <w:br/>
      </w:r>
      <w:r w:rsidR="00FA0A4A" w:rsidRPr="00E07FEE">
        <w:rPr>
          <w:rFonts w:ascii="Arial" w:hAnsi="Arial" w:cs="Arial"/>
          <w:i/>
          <w:sz w:val="24"/>
          <w:szCs w:val="24"/>
        </w:rPr>
        <w:t>Figure 16: Plot of gamma ray vs. bulk density defines potash minerals (data from</w:t>
      </w:r>
      <w:r w:rsidR="00BC4348" w:rsidRPr="00BC4348">
        <w:rPr>
          <w:rFonts w:ascii="Arial" w:hAnsi="Arial" w:cs="Arial"/>
          <w:i/>
          <w:sz w:val="24"/>
          <w:szCs w:val="24"/>
        </w:rPr>
        <w:t xml:space="preserve"> </w:t>
      </w:r>
      <w:r w:rsidR="00BC4348" w:rsidRPr="00E07FEE">
        <w:rPr>
          <w:rFonts w:ascii="Arial" w:hAnsi="Arial" w:cs="Arial"/>
          <w:i/>
          <w:sz w:val="24"/>
          <w:szCs w:val="24"/>
        </w:rPr>
        <w:t>logs in Figure 13).</w:t>
      </w:r>
    </w:p>
    <w:p w14:paraId="392D9A03" w14:textId="0998437B" w:rsidR="00FA0A4A" w:rsidRDefault="00FA0A4A" w:rsidP="00F41728">
      <w:pPr>
        <w:jc w:val="center"/>
        <w:rPr>
          <w:rFonts w:ascii="Arial" w:hAnsi="Arial" w:cs="Arial"/>
          <w:i/>
          <w:sz w:val="24"/>
          <w:szCs w:val="24"/>
        </w:rPr>
      </w:pPr>
    </w:p>
    <w:p w14:paraId="44DE1299" w14:textId="77777777" w:rsidR="00F41728" w:rsidRDefault="00F41728" w:rsidP="00F41728">
      <w:pPr>
        <w:jc w:val="center"/>
        <w:rPr>
          <w:rFonts w:ascii="Arial" w:hAnsi="Arial" w:cs="Arial"/>
          <w:sz w:val="24"/>
          <w:szCs w:val="24"/>
        </w:rPr>
      </w:pPr>
    </w:p>
    <w:p w14:paraId="4C647D13" w14:textId="7A12AAC1" w:rsidR="00802393" w:rsidRPr="00500E49" w:rsidRDefault="00802393">
      <w:pPr>
        <w:rPr>
          <w:rFonts w:ascii="Arial" w:hAnsi="Arial" w:cs="Arial"/>
          <w:sz w:val="24"/>
          <w:szCs w:val="24"/>
        </w:rPr>
      </w:pPr>
      <w:r w:rsidRPr="00500E49">
        <w:rPr>
          <w:rFonts w:ascii="Arial" w:hAnsi="Arial" w:cs="Arial"/>
          <w:sz w:val="24"/>
          <w:szCs w:val="24"/>
        </w:rPr>
        <w:t>Figure 16 is a plot of gamma ray (also calibrated in terms of K</w:t>
      </w:r>
      <w:r w:rsidRPr="00500E49">
        <w:rPr>
          <w:rFonts w:ascii="Arial" w:hAnsi="Arial" w:cs="Arial"/>
          <w:sz w:val="24"/>
          <w:szCs w:val="24"/>
          <w:vertAlign w:val="subscript"/>
        </w:rPr>
        <w:t>2</w:t>
      </w:r>
      <w:r w:rsidRPr="00500E49">
        <w:rPr>
          <w:rFonts w:ascii="Arial" w:hAnsi="Arial" w:cs="Arial"/>
          <w:sz w:val="24"/>
          <w:szCs w:val="24"/>
        </w:rPr>
        <w:t xml:space="preserve">0) versus bulk density, .  Coordinates are located for pure halite, anhydrite, polyhalite, langbeinite, sylvite, and carnallite.  The plotted levels indicate mixtures of halite with either sylvite or carnallite.  </w:t>
      </w:r>
      <w:r w:rsidRPr="005E2309">
        <w:rPr>
          <w:rFonts w:ascii="Arial" w:hAnsi="Arial" w:cs="Arial"/>
          <w:sz w:val="24"/>
          <w:szCs w:val="24"/>
        </w:rPr>
        <w:t>Level</w:t>
      </w:r>
      <w:r w:rsidRPr="00500E49">
        <w:rPr>
          <w:rFonts w:ascii="Arial" w:hAnsi="Arial" w:cs="Arial"/>
          <w:sz w:val="24"/>
          <w:szCs w:val="24"/>
        </w:rPr>
        <w:t>16 is an anhydrite-halite mixture.  This plot confirms the mineral concentrations indicated by the density vs. neutron cross plot (Fig. 14).</w:t>
      </w:r>
    </w:p>
    <w:p w14:paraId="2EE480C2" w14:textId="5B6717F3" w:rsidR="00802393" w:rsidRPr="00500E49" w:rsidRDefault="00FE5313">
      <w:pPr>
        <w:rPr>
          <w:rFonts w:ascii="Arial" w:hAnsi="Arial" w:cs="Arial"/>
          <w:sz w:val="24"/>
          <w:szCs w:val="24"/>
        </w:rPr>
      </w:pPr>
      <w:r w:rsidRPr="00A9516E">
        <w:rPr>
          <w:rFonts w:ascii="Arial" w:hAnsi="Arial" w:cs="Arial"/>
          <w:b/>
          <w:sz w:val="24"/>
          <w:szCs w:val="24"/>
        </w:rPr>
        <w:t>POLYHALITE</w:t>
      </w:r>
      <w:r w:rsidR="00935862" w:rsidRPr="00A9516E">
        <w:rPr>
          <w:rFonts w:ascii="Arial" w:hAnsi="Arial" w:cs="Arial"/>
          <w:b/>
          <w:sz w:val="24"/>
          <w:szCs w:val="24"/>
        </w:rPr>
        <w:t xml:space="preserve"> EXAMPLE</w:t>
      </w:r>
      <w:r w:rsidR="00935862" w:rsidRPr="00A9516E">
        <w:rPr>
          <w:rFonts w:ascii="Arial" w:hAnsi="Arial" w:cs="Arial"/>
          <w:b/>
          <w:sz w:val="24"/>
          <w:szCs w:val="24"/>
        </w:rPr>
        <w:br/>
      </w:r>
      <w:r w:rsidR="007E4EA3" w:rsidRPr="00500E49">
        <w:rPr>
          <w:rFonts w:ascii="Arial" w:hAnsi="Arial" w:cs="Arial"/>
          <w:sz w:val="24"/>
          <w:szCs w:val="24"/>
        </w:rPr>
        <w:t>Figure 17 shows four sections taken from logs run in a well located in the Permian Basin.  These contain mostly halite (cross-hatched intervals); an anhydrite bed appears at the bottom of the example.  The four sections of interest are characterized by five logs as follows:</w:t>
      </w:r>
    </w:p>
    <w:p w14:paraId="3096BA2A" w14:textId="26B708A7" w:rsidR="007E4EA3" w:rsidRPr="00500E49" w:rsidRDefault="007E4EA3" w:rsidP="007E4EA3">
      <w:pPr>
        <w:pStyle w:val="ListParagraph"/>
        <w:numPr>
          <w:ilvl w:val="0"/>
          <w:numId w:val="34"/>
        </w:numPr>
        <w:rPr>
          <w:rFonts w:ascii="Arial" w:hAnsi="Arial" w:cs="Arial"/>
          <w:sz w:val="24"/>
          <w:szCs w:val="24"/>
        </w:rPr>
      </w:pPr>
      <w:r w:rsidRPr="00500E49">
        <w:rPr>
          <w:rFonts w:ascii="Arial" w:hAnsi="Arial" w:cs="Arial"/>
          <w:sz w:val="24"/>
          <w:szCs w:val="24"/>
        </w:rPr>
        <w:t>Gamma Ray – sharp, rather high radioactivity, suggesting a potash mineral.</w:t>
      </w:r>
    </w:p>
    <w:p w14:paraId="56D3A8A9" w14:textId="320826D4" w:rsidR="007E4EA3" w:rsidRPr="00500E49" w:rsidRDefault="007E4EA3" w:rsidP="007E4EA3">
      <w:pPr>
        <w:pStyle w:val="ListParagraph"/>
        <w:numPr>
          <w:ilvl w:val="0"/>
          <w:numId w:val="34"/>
        </w:numPr>
        <w:rPr>
          <w:rFonts w:ascii="Arial" w:hAnsi="Arial" w:cs="Arial"/>
          <w:sz w:val="24"/>
          <w:szCs w:val="24"/>
        </w:rPr>
      </w:pPr>
      <w:r w:rsidRPr="00500E49">
        <w:rPr>
          <w:rFonts w:ascii="Arial" w:hAnsi="Arial" w:cs="Arial"/>
          <w:sz w:val="24"/>
          <w:szCs w:val="24"/>
        </w:rPr>
        <w:t>Caliper – indicates solubility less than for halite.</w:t>
      </w:r>
    </w:p>
    <w:p w14:paraId="7DC663B6" w14:textId="3735110B" w:rsidR="007E4EA3" w:rsidRPr="00500E49" w:rsidRDefault="007E4EA3" w:rsidP="007E4EA3">
      <w:pPr>
        <w:pStyle w:val="ListParagraph"/>
        <w:numPr>
          <w:ilvl w:val="0"/>
          <w:numId w:val="34"/>
        </w:numPr>
        <w:rPr>
          <w:rFonts w:ascii="Arial" w:hAnsi="Arial" w:cs="Arial"/>
          <w:sz w:val="24"/>
          <w:szCs w:val="24"/>
        </w:rPr>
      </w:pPr>
      <w:r w:rsidRPr="00500E49">
        <w:rPr>
          <w:rFonts w:ascii="Arial" w:hAnsi="Arial" w:cs="Arial"/>
          <w:sz w:val="24"/>
          <w:szCs w:val="24"/>
        </w:rPr>
        <w:t xml:space="preserve">Sonic </w:t>
      </w:r>
      <w:r w:rsidR="0075422D" w:rsidRPr="00500E49">
        <w:rPr>
          <w:rFonts w:ascii="Arial" w:hAnsi="Arial" w:cs="Arial"/>
          <w:sz w:val="24"/>
          <w:szCs w:val="24"/>
        </w:rPr>
        <w:t>–</w:t>
      </w:r>
      <w:r w:rsidRPr="00500E49">
        <w:rPr>
          <w:rFonts w:ascii="Arial" w:hAnsi="Arial" w:cs="Arial"/>
          <w:sz w:val="24"/>
          <w:szCs w:val="24"/>
        </w:rPr>
        <w:t xml:space="preserve"> </w:t>
      </w:r>
      <w:r w:rsidRPr="00500E49">
        <w:rPr>
          <w:rFonts w:ascii="Arial" w:hAnsi="Arial" w:cs="Arial"/>
          <w:sz w:val="24"/>
          <w:szCs w:val="24"/>
        </w:rPr>
        <w:sym w:font="Wingdings 3" w:char="F072"/>
      </w:r>
      <w:r w:rsidRPr="00500E49">
        <w:rPr>
          <w:rFonts w:ascii="Arial" w:hAnsi="Arial" w:cs="Arial"/>
          <w:sz w:val="24"/>
          <w:szCs w:val="24"/>
        </w:rPr>
        <w:t>t less than for halite.</w:t>
      </w:r>
    </w:p>
    <w:p w14:paraId="49B6DF87" w14:textId="3662A608" w:rsidR="007E4EA3" w:rsidRPr="00500E49" w:rsidRDefault="007E4EA3" w:rsidP="007E4EA3">
      <w:pPr>
        <w:pStyle w:val="ListParagraph"/>
        <w:numPr>
          <w:ilvl w:val="0"/>
          <w:numId w:val="34"/>
        </w:numPr>
        <w:rPr>
          <w:rFonts w:ascii="Arial" w:hAnsi="Arial" w:cs="Arial"/>
          <w:sz w:val="24"/>
          <w:szCs w:val="24"/>
        </w:rPr>
      </w:pPr>
      <w:r w:rsidRPr="00500E49">
        <w:rPr>
          <w:rFonts w:ascii="Arial" w:hAnsi="Arial" w:cs="Arial"/>
          <w:sz w:val="24"/>
          <w:szCs w:val="24"/>
        </w:rPr>
        <w:t>Neutron – higher porosity index than for halite, suggesting a hydrated mineral.</w:t>
      </w:r>
    </w:p>
    <w:p w14:paraId="0188476B" w14:textId="0338A2FE" w:rsidR="007E4EA3" w:rsidRPr="00500E49" w:rsidRDefault="007E4EA3" w:rsidP="007E4EA3">
      <w:pPr>
        <w:pStyle w:val="ListParagraph"/>
        <w:numPr>
          <w:ilvl w:val="0"/>
          <w:numId w:val="34"/>
        </w:numPr>
        <w:rPr>
          <w:rFonts w:ascii="Arial" w:hAnsi="Arial" w:cs="Arial"/>
          <w:sz w:val="24"/>
          <w:szCs w:val="24"/>
        </w:rPr>
      </w:pPr>
      <w:r w:rsidRPr="00500E49">
        <w:rPr>
          <w:rFonts w:ascii="Arial" w:hAnsi="Arial" w:cs="Arial"/>
          <w:sz w:val="24"/>
          <w:szCs w:val="24"/>
        </w:rPr>
        <w:t>Density – much higher than for halite.</w:t>
      </w:r>
      <w:r w:rsidR="0075422D" w:rsidRPr="0075422D">
        <w:rPr>
          <w:rFonts w:ascii="Arial" w:hAnsi="Arial" w:cs="Arial"/>
          <w:sz w:val="24"/>
          <w:szCs w:val="24"/>
        </w:rPr>
        <w:t xml:space="preserve"> </w:t>
      </w:r>
    </w:p>
    <w:p w14:paraId="798D38B0" w14:textId="2ED19CC7" w:rsidR="007E4EA3" w:rsidRPr="00500E49" w:rsidRDefault="007E4EA3" w:rsidP="007E4EA3">
      <w:pPr>
        <w:rPr>
          <w:rFonts w:ascii="Arial" w:hAnsi="Arial" w:cs="Arial"/>
          <w:sz w:val="24"/>
          <w:szCs w:val="24"/>
        </w:rPr>
      </w:pPr>
      <w:r w:rsidRPr="00500E49">
        <w:rPr>
          <w:rFonts w:ascii="Arial" w:hAnsi="Arial" w:cs="Arial"/>
          <w:sz w:val="24"/>
          <w:szCs w:val="24"/>
        </w:rPr>
        <w:t xml:space="preserve">Two cross-plots are </w:t>
      </w:r>
      <w:r w:rsidRPr="00CF7650">
        <w:rPr>
          <w:rFonts w:ascii="Arial" w:hAnsi="Arial" w:cs="Arial"/>
          <w:sz w:val="24"/>
          <w:szCs w:val="24"/>
        </w:rPr>
        <w:t>show</w:t>
      </w:r>
      <w:r w:rsidR="0075422D" w:rsidRPr="00CF7650">
        <w:rPr>
          <w:rFonts w:ascii="Arial" w:hAnsi="Arial" w:cs="Arial"/>
          <w:sz w:val="24"/>
          <w:szCs w:val="24"/>
        </w:rPr>
        <w:t>n</w:t>
      </w:r>
      <w:r w:rsidRPr="00500E49">
        <w:rPr>
          <w:rFonts w:ascii="Arial" w:hAnsi="Arial" w:cs="Arial"/>
          <w:sz w:val="24"/>
          <w:szCs w:val="24"/>
        </w:rPr>
        <w:t>; one, density vs. gamma ray (Fig. 18), the other, sonic vs. epithermal neutron (Fig. 19).  Both cross-plots indicated these four zones are primarily polyhalite with some halite also present. Possibly some kainite is also present, as evidenced by the plotted position to the right of the halite-polyhalite line.</w:t>
      </w:r>
    </w:p>
    <w:p w14:paraId="63060BA1" w14:textId="3405F8B0" w:rsidR="007E4EA3" w:rsidRPr="00500E49" w:rsidRDefault="007E4EA3" w:rsidP="007E4EA3">
      <w:pPr>
        <w:rPr>
          <w:rFonts w:ascii="Arial" w:hAnsi="Arial" w:cs="Arial"/>
          <w:sz w:val="24"/>
          <w:szCs w:val="24"/>
        </w:rPr>
      </w:pPr>
      <w:r w:rsidRPr="00500E49">
        <w:rPr>
          <w:rFonts w:ascii="Arial" w:hAnsi="Arial" w:cs="Arial"/>
          <w:sz w:val="24"/>
          <w:szCs w:val="24"/>
        </w:rPr>
        <w:t xml:space="preserve">Three other thin beds appear and are labeled X.  The mineral involved evidently contains little or no potassium, is hydrated, has long transit time, and has about the same density as halite.  Mineral identification of these beds is uncertain. </w:t>
      </w:r>
    </w:p>
    <w:p w14:paraId="31EBC326" w14:textId="6422530C" w:rsidR="00802393" w:rsidRPr="00500E49" w:rsidRDefault="00802393">
      <w:pPr>
        <w:rPr>
          <w:rFonts w:ascii="Arial" w:hAnsi="Arial" w:cs="Arial"/>
          <w:sz w:val="24"/>
          <w:szCs w:val="24"/>
        </w:rPr>
      </w:pPr>
    </w:p>
    <w:p w14:paraId="0CB3FE94" w14:textId="77777777" w:rsidR="009C6834" w:rsidRPr="00E07FEE" w:rsidRDefault="009C6834" w:rsidP="00E07FEE">
      <w:pPr>
        <w:jc w:val="center"/>
        <w:rPr>
          <w:rFonts w:ascii="Arial" w:hAnsi="Arial" w:cs="Arial"/>
          <w:i/>
          <w:sz w:val="24"/>
          <w:szCs w:val="24"/>
        </w:rPr>
      </w:pPr>
      <w:r w:rsidRPr="00E07FEE">
        <w:rPr>
          <w:i/>
          <w:noProof/>
          <w:sz w:val="24"/>
          <w:szCs w:val="24"/>
          <w:lang w:val="en-CA" w:eastAsia="en-CA"/>
        </w:rPr>
        <w:lastRenderedPageBreak/>
        <w:drawing>
          <wp:inline distT="0" distB="0" distL="0" distR="0" wp14:anchorId="703A3E64" wp14:editId="05787F3D">
            <wp:extent cx="4057143" cy="3885714"/>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57143" cy="3885714"/>
                    </a:xfrm>
                    <a:prstGeom prst="rect">
                      <a:avLst/>
                    </a:prstGeom>
                  </pic:spPr>
                </pic:pic>
              </a:graphicData>
            </a:graphic>
          </wp:inline>
        </w:drawing>
      </w:r>
      <w:r w:rsidRPr="00E07FEE">
        <w:rPr>
          <w:rFonts w:ascii="Arial" w:hAnsi="Arial" w:cs="Arial"/>
          <w:i/>
          <w:sz w:val="24"/>
          <w:szCs w:val="24"/>
        </w:rPr>
        <w:br/>
        <w:t>Figure 17:  Logs identify beds of polyhalite.</w:t>
      </w:r>
    </w:p>
    <w:p w14:paraId="25C199B4" w14:textId="7AB5F2D7" w:rsidR="007E4EA3" w:rsidRPr="00500E49" w:rsidRDefault="009C6834">
      <w:pPr>
        <w:rPr>
          <w:rFonts w:ascii="Arial" w:hAnsi="Arial" w:cs="Arial"/>
          <w:sz w:val="24"/>
          <w:szCs w:val="24"/>
        </w:rPr>
      </w:pPr>
      <w:r w:rsidRPr="00500E49">
        <w:rPr>
          <w:rFonts w:ascii="Arial" w:hAnsi="Arial" w:cs="Arial"/>
          <w:sz w:val="24"/>
          <w:szCs w:val="24"/>
        </w:rPr>
        <w:br/>
      </w:r>
      <w:r w:rsidR="007E4EA3" w:rsidRPr="00A9516E">
        <w:rPr>
          <w:rFonts w:ascii="Arial" w:hAnsi="Arial" w:cs="Arial"/>
          <w:b/>
          <w:sz w:val="24"/>
          <w:szCs w:val="24"/>
        </w:rPr>
        <w:t>QUANTITATIVE POTASH EVALUATION</w:t>
      </w:r>
      <w:r w:rsidRPr="00A9516E">
        <w:rPr>
          <w:rFonts w:ascii="Arial" w:hAnsi="Arial" w:cs="Arial"/>
          <w:b/>
          <w:sz w:val="24"/>
          <w:szCs w:val="24"/>
        </w:rPr>
        <w:br/>
      </w:r>
      <w:r w:rsidR="007E4EA3" w:rsidRPr="00500E49">
        <w:rPr>
          <w:rFonts w:ascii="Arial" w:hAnsi="Arial" w:cs="Arial"/>
          <w:sz w:val="24"/>
          <w:szCs w:val="24"/>
        </w:rPr>
        <w:t xml:space="preserve">From foregoing discussions it is apparent that logs offer a method of quantitatively determining relative fractions of potash </w:t>
      </w:r>
      <w:r w:rsidR="00F56F9F" w:rsidRPr="00500E49">
        <w:rPr>
          <w:rFonts w:ascii="Arial" w:hAnsi="Arial" w:cs="Arial"/>
          <w:sz w:val="24"/>
          <w:szCs w:val="24"/>
        </w:rPr>
        <w:t>minerals</w:t>
      </w:r>
      <w:r w:rsidR="007E4EA3" w:rsidRPr="00500E49">
        <w:rPr>
          <w:rFonts w:ascii="Arial" w:hAnsi="Arial" w:cs="Arial"/>
          <w:sz w:val="24"/>
          <w:szCs w:val="24"/>
        </w:rPr>
        <w:t xml:space="preserve"> in evaporite formations.  The greater the number of different </w:t>
      </w:r>
      <w:r w:rsidR="00F56F9F" w:rsidRPr="00500E49">
        <w:rPr>
          <w:rFonts w:ascii="Arial" w:hAnsi="Arial" w:cs="Arial"/>
          <w:sz w:val="24"/>
          <w:szCs w:val="24"/>
        </w:rPr>
        <w:t>minerals</w:t>
      </w:r>
      <w:r w:rsidR="007E4EA3" w:rsidRPr="00500E49">
        <w:rPr>
          <w:rFonts w:ascii="Arial" w:hAnsi="Arial" w:cs="Arial"/>
          <w:sz w:val="24"/>
          <w:szCs w:val="24"/>
        </w:rPr>
        <w:t>, however, the more difficult the problem becomes – and the greater is the number of logs required for a solution.</w:t>
      </w:r>
    </w:p>
    <w:p w14:paraId="7F3698BC" w14:textId="6C8E5AAE" w:rsidR="00F56F9F" w:rsidRPr="004620FF" w:rsidRDefault="00F56F9F" w:rsidP="004620FF">
      <w:pPr>
        <w:jc w:val="center"/>
        <w:rPr>
          <w:rFonts w:ascii="Arial" w:hAnsi="Arial" w:cs="Arial"/>
          <w:i/>
          <w:sz w:val="24"/>
          <w:szCs w:val="24"/>
        </w:rPr>
      </w:pPr>
    </w:p>
    <w:p w14:paraId="467E9333" w14:textId="3E0F8989" w:rsidR="00802393" w:rsidRPr="004620FF" w:rsidRDefault="00F56F9F" w:rsidP="004620FF">
      <w:pPr>
        <w:jc w:val="center"/>
        <w:rPr>
          <w:rFonts w:ascii="Arial" w:hAnsi="Arial" w:cs="Arial"/>
          <w:i/>
          <w:sz w:val="24"/>
          <w:szCs w:val="24"/>
        </w:rPr>
      </w:pPr>
      <w:r w:rsidRPr="004620FF">
        <w:rPr>
          <w:i/>
          <w:noProof/>
          <w:sz w:val="24"/>
          <w:szCs w:val="24"/>
          <w:lang w:val="en-CA" w:eastAsia="en-CA"/>
        </w:rPr>
        <w:lastRenderedPageBreak/>
        <w:drawing>
          <wp:inline distT="0" distB="0" distL="0" distR="0" wp14:anchorId="41865D54" wp14:editId="5AB749C3">
            <wp:extent cx="3066667" cy="38000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66667" cy="3800000"/>
                    </a:xfrm>
                    <a:prstGeom prst="rect">
                      <a:avLst/>
                    </a:prstGeom>
                  </pic:spPr>
                </pic:pic>
              </a:graphicData>
            </a:graphic>
          </wp:inline>
        </w:drawing>
      </w:r>
      <w:r w:rsidR="00ED7A9B" w:rsidRPr="004620FF">
        <w:rPr>
          <w:rFonts w:ascii="Arial" w:hAnsi="Arial" w:cs="Arial"/>
          <w:i/>
          <w:sz w:val="24"/>
          <w:szCs w:val="24"/>
        </w:rPr>
        <w:br/>
      </w:r>
      <w:r w:rsidR="0048324B" w:rsidRPr="004620FF">
        <w:rPr>
          <w:rFonts w:ascii="Arial" w:hAnsi="Arial" w:cs="Arial"/>
          <w:i/>
          <w:sz w:val="24"/>
          <w:szCs w:val="24"/>
        </w:rPr>
        <w:t>Figure 18.  Plot of gamma ray vs. bulk density data from logs in Figure 16.</w:t>
      </w:r>
    </w:p>
    <w:p w14:paraId="49CFDB96" w14:textId="4627E1AF" w:rsidR="0048324B" w:rsidRPr="004620FF" w:rsidRDefault="0048324B" w:rsidP="004620FF">
      <w:pPr>
        <w:jc w:val="center"/>
        <w:rPr>
          <w:rFonts w:ascii="Arial" w:hAnsi="Arial" w:cs="Arial"/>
          <w:i/>
          <w:sz w:val="24"/>
          <w:szCs w:val="24"/>
        </w:rPr>
      </w:pPr>
    </w:p>
    <w:p w14:paraId="76CFA5CE" w14:textId="50E0046D" w:rsidR="00802393" w:rsidRPr="00500E49" w:rsidRDefault="0048324B" w:rsidP="004620FF">
      <w:pPr>
        <w:jc w:val="center"/>
        <w:rPr>
          <w:rFonts w:ascii="Arial" w:hAnsi="Arial" w:cs="Arial"/>
          <w:sz w:val="24"/>
          <w:szCs w:val="24"/>
        </w:rPr>
      </w:pPr>
      <w:r w:rsidRPr="004620FF">
        <w:rPr>
          <w:i/>
          <w:noProof/>
          <w:sz w:val="24"/>
          <w:szCs w:val="24"/>
          <w:lang w:val="en-CA" w:eastAsia="en-CA"/>
        </w:rPr>
        <w:lastRenderedPageBreak/>
        <w:drawing>
          <wp:inline distT="0" distB="0" distL="0" distR="0" wp14:anchorId="7C9C8722" wp14:editId="1BF9244E">
            <wp:extent cx="3295238" cy="3819048"/>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95238" cy="3819048"/>
                    </a:xfrm>
                    <a:prstGeom prst="rect">
                      <a:avLst/>
                    </a:prstGeom>
                  </pic:spPr>
                </pic:pic>
              </a:graphicData>
            </a:graphic>
          </wp:inline>
        </w:drawing>
      </w:r>
      <w:r w:rsidR="00ED7A9B" w:rsidRPr="004620FF">
        <w:rPr>
          <w:rFonts w:ascii="Arial" w:hAnsi="Arial" w:cs="Arial"/>
          <w:i/>
          <w:sz w:val="24"/>
          <w:szCs w:val="24"/>
        </w:rPr>
        <w:br/>
      </w:r>
      <w:r w:rsidRPr="004620FF">
        <w:rPr>
          <w:rFonts w:ascii="Arial" w:hAnsi="Arial" w:cs="Arial"/>
          <w:i/>
          <w:sz w:val="24"/>
          <w:szCs w:val="24"/>
        </w:rPr>
        <w:t>Figure 19.  Plot of sonic vs. epithermal neutron data from logs in Figure 16.</w:t>
      </w:r>
    </w:p>
    <w:p w14:paraId="7D920FAC" w14:textId="67703A6F" w:rsidR="0048324B" w:rsidRPr="00500E49" w:rsidRDefault="0048324B">
      <w:pPr>
        <w:rPr>
          <w:rFonts w:ascii="Arial" w:hAnsi="Arial" w:cs="Arial"/>
          <w:sz w:val="24"/>
          <w:szCs w:val="24"/>
        </w:rPr>
      </w:pPr>
    </w:p>
    <w:p w14:paraId="577EA564" w14:textId="0F4E5139" w:rsidR="0048324B" w:rsidRPr="00500E49" w:rsidRDefault="0048324B">
      <w:pPr>
        <w:rPr>
          <w:rFonts w:ascii="Arial" w:hAnsi="Arial" w:cs="Arial"/>
          <w:sz w:val="24"/>
          <w:szCs w:val="24"/>
        </w:rPr>
      </w:pPr>
      <w:r w:rsidRPr="00500E49">
        <w:rPr>
          <w:rFonts w:ascii="Arial" w:hAnsi="Arial" w:cs="Arial"/>
          <w:sz w:val="24"/>
          <w:szCs w:val="24"/>
        </w:rPr>
        <w:t>In some areas the types of potash minerals likely to be encountered are well known.  Thus, methods appropriate for the particular area can be developed.  One such area is the development of the Prairie Evaporite Formation in Saskatchewan, Canada.  There, the ore zones are made up chiefly of sylvite, carnallite, and halite.  Small fractions of insolubles, mostly clay, are also present.  Other minerals rarely exceed one percent of the formation and are therefore ignored.</w:t>
      </w:r>
    </w:p>
    <w:p w14:paraId="4A8EC196" w14:textId="6D6CCC3E" w:rsidR="0048324B" w:rsidRPr="00500E49" w:rsidRDefault="0048324B">
      <w:pPr>
        <w:rPr>
          <w:rFonts w:ascii="Arial" w:hAnsi="Arial" w:cs="Arial"/>
          <w:sz w:val="24"/>
          <w:szCs w:val="24"/>
        </w:rPr>
      </w:pPr>
      <w:r w:rsidRPr="00500E49">
        <w:rPr>
          <w:rFonts w:ascii="Arial" w:hAnsi="Arial" w:cs="Arial"/>
          <w:sz w:val="24"/>
          <w:szCs w:val="24"/>
        </w:rPr>
        <w:t>An empirical method of interpretation for this Prairie evaporite section was developed by comparing log data with 28 core assay reports.  This method uses sonic, neutron, and gamma ray data, and provides the relative fractions of sylvite, carnallite, halite, and insolubles in the formation.</w:t>
      </w:r>
    </w:p>
    <w:p w14:paraId="01E45A24" w14:textId="3A78421B" w:rsidR="0048324B" w:rsidRPr="00500E49" w:rsidRDefault="0048324B">
      <w:pPr>
        <w:rPr>
          <w:rFonts w:ascii="Arial" w:hAnsi="Arial" w:cs="Arial"/>
          <w:sz w:val="24"/>
          <w:szCs w:val="24"/>
        </w:rPr>
      </w:pPr>
      <w:r w:rsidRPr="00500E49">
        <w:rPr>
          <w:rFonts w:ascii="Arial" w:hAnsi="Arial" w:cs="Arial"/>
          <w:sz w:val="24"/>
          <w:szCs w:val="24"/>
        </w:rPr>
        <w:t xml:space="preserve">Sonic and Gamma Ray measurements are used to determine the small, but significant, fractions of insolubles. Neutron data provide the control required for determination of the fraction of carnallite.  With these two constituents determined, gamma ray data are used to define the sylvite fraction.  Ultimately, the halite fraction is assumed to </w:t>
      </w:r>
      <w:r w:rsidRPr="00CF7650">
        <w:rPr>
          <w:rFonts w:ascii="Arial" w:hAnsi="Arial" w:cs="Arial"/>
          <w:sz w:val="24"/>
          <w:szCs w:val="24"/>
        </w:rPr>
        <w:t>comprise</w:t>
      </w:r>
      <w:r w:rsidRPr="00500E49">
        <w:rPr>
          <w:rFonts w:ascii="Arial" w:hAnsi="Arial" w:cs="Arial"/>
          <w:sz w:val="24"/>
          <w:szCs w:val="24"/>
        </w:rPr>
        <w:t xml:space="preserve"> the remainder of the formation volume.  Results with this method have agreed closely with assay reports on subsequent wells.</w:t>
      </w:r>
    </w:p>
    <w:p w14:paraId="5A93E927" w14:textId="4662C51A" w:rsidR="0048324B" w:rsidRPr="00500E49" w:rsidRDefault="00DF641D">
      <w:pPr>
        <w:rPr>
          <w:rFonts w:ascii="Arial" w:hAnsi="Arial" w:cs="Arial"/>
          <w:sz w:val="24"/>
          <w:szCs w:val="24"/>
        </w:rPr>
      </w:pPr>
      <w:r w:rsidRPr="00500E49">
        <w:rPr>
          <w:rFonts w:ascii="Arial" w:hAnsi="Arial" w:cs="Arial"/>
          <w:sz w:val="24"/>
          <w:szCs w:val="24"/>
        </w:rPr>
        <w:t xml:space="preserve">Logs from one of the Prairie evaporite wells are shown in Fig. 20.  As in drilling all of these development wells, oil base mud was used to prevent hole enlargement through </w:t>
      </w:r>
      <w:r w:rsidRPr="00500E49">
        <w:rPr>
          <w:rFonts w:ascii="Arial" w:hAnsi="Arial" w:cs="Arial"/>
          <w:sz w:val="24"/>
          <w:szCs w:val="24"/>
        </w:rPr>
        <w:lastRenderedPageBreak/>
        <w:t xml:space="preserve">the soluble evaporites.  The logs are recorded on an expanded depth scale for maximum resolution of the often </w:t>
      </w:r>
      <w:r w:rsidR="0075422D" w:rsidRPr="005E2309">
        <w:rPr>
          <w:rFonts w:ascii="Arial" w:hAnsi="Arial" w:cs="Arial"/>
          <w:sz w:val="24"/>
          <w:szCs w:val="24"/>
        </w:rPr>
        <w:t>thin</w:t>
      </w:r>
      <w:r w:rsidRPr="00500E49">
        <w:rPr>
          <w:rFonts w:ascii="Arial" w:hAnsi="Arial" w:cs="Arial"/>
          <w:sz w:val="24"/>
          <w:szCs w:val="24"/>
        </w:rPr>
        <w:t xml:space="preserve"> ore beds.  In addition, the logs are recorded at a slower logging speed than normal to insure maximum detail.  </w:t>
      </w:r>
    </w:p>
    <w:p w14:paraId="0A58A00C" w14:textId="090558A4" w:rsidR="00DF641D" w:rsidRPr="00500E49" w:rsidRDefault="00DF641D">
      <w:pPr>
        <w:rPr>
          <w:rFonts w:ascii="Arial" w:hAnsi="Arial" w:cs="Arial"/>
          <w:sz w:val="24"/>
          <w:szCs w:val="24"/>
        </w:rPr>
      </w:pPr>
      <w:r w:rsidRPr="00500E49">
        <w:rPr>
          <w:rFonts w:ascii="Arial" w:hAnsi="Arial" w:cs="Arial"/>
          <w:sz w:val="24"/>
          <w:szCs w:val="24"/>
        </w:rPr>
        <w:t>In addition to the recorded gamma ray, neutron and sonic curves, the results of the analysis are shown.  These results are plotted to indicate the relative proportions of sylvite, halite, carnallite, and clay at each level.  The computed percent of sylvite closely agrees with the assay of cores.</w:t>
      </w:r>
    </w:p>
    <w:p w14:paraId="2F143FC8" w14:textId="0D75A100" w:rsidR="00802393" w:rsidRPr="004620FF" w:rsidRDefault="00DF641D" w:rsidP="004620FF">
      <w:pPr>
        <w:jc w:val="center"/>
        <w:rPr>
          <w:rFonts w:ascii="Arial" w:hAnsi="Arial" w:cs="Arial"/>
          <w:i/>
          <w:sz w:val="24"/>
          <w:szCs w:val="24"/>
        </w:rPr>
      </w:pPr>
      <w:r w:rsidRPr="004620FF">
        <w:rPr>
          <w:i/>
          <w:noProof/>
          <w:sz w:val="24"/>
          <w:szCs w:val="24"/>
          <w:lang w:val="en-CA" w:eastAsia="en-CA"/>
        </w:rPr>
        <w:drawing>
          <wp:inline distT="0" distB="0" distL="0" distR="0" wp14:anchorId="44C6A445" wp14:editId="1398B71F">
            <wp:extent cx="5352381" cy="3895238"/>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52381" cy="3895238"/>
                    </a:xfrm>
                    <a:prstGeom prst="rect">
                      <a:avLst/>
                    </a:prstGeom>
                  </pic:spPr>
                </pic:pic>
              </a:graphicData>
            </a:graphic>
          </wp:inline>
        </w:drawing>
      </w:r>
      <w:r w:rsidR="00ED7A9B" w:rsidRPr="004620FF">
        <w:rPr>
          <w:rFonts w:ascii="Arial" w:hAnsi="Arial" w:cs="Arial"/>
          <w:i/>
          <w:sz w:val="24"/>
          <w:szCs w:val="24"/>
        </w:rPr>
        <w:br/>
      </w:r>
      <w:r w:rsidRPr="004620FF">
        <w:rPr>
          <w:rFonts w:ascii="Arial" w:hAnsi="Arial" w:cs="Arial"/>
          <w:i/>
          <w:sz w:val="24"/>
          <w:szCs w:val="24"/>
        </w:rPr>
        <w:t>Figure 20</w:t>
      </w:r>
      <w:r w:rsidR="00A95736" w:rsidRPr="004620FF">
        <w:rPr>
          <w:rFonts w:ascii="Arial" w:hAnsi="Arial" w:cs="Arial"/>
          <w:i/>
          <w:sz w:val="24"/>
          <w:szCs w:val="24"/>
        </w:rPr>
        <w:t>:</w:t>
      </w:r>
      <w:r w:rsidRPr="004620FF">
        <w:rPr>
          <w:rFonts w:ascii="Arial" w:hAnsi="Arial" w:cs="Arial"/>
          <w:i/>
          <w:sz w:val="24"/>
          <w:szCs w:val="24"/>
        </w:rPr>
        <w:t xml:space="preserve"> Logs recorded through Prairie evaporite section with computed mineral analysis</w:t>
      </w:r>
      <w:r w:rsidR="00A95736" w:rsidRPr="004620FF">
        <w:rPr>
          <w:rFonts w:ascii="Arial" w:hAnsi="Arial" w:cs="Arial"/>
          <w:i/>
          <w:sz w:val="24"/>
          <w:szCs w:val="24"/>
        </w:rPr>
        <w:t xml:space="preserve"> and core assay</w:t>
      </w:r>
      <w:r w:rsidRPr="004620FF">
        <w:rPr>
          <w:rFonts w:ascii="Arial" w:hAnsi="Arial" w:cs="Arial"/>
          <w:i/>
          <w:sz w:val="24"/>
          <w:szCs w:val="24"/>
        </w:rPr>
        <w:t>.</w:t>
      </w:r>
    </w:p>
    <w:p w14:paraId="78E76323" w14:textId="5FD33A09" w:rsidR="00DF641D" w:rsidRPr="00500E49" w:rsidRDefault="00DF641D">
      <w:pPr>
        <w:rPr>
          <w:rFonts w:ascii="Arial" w:hAnsi="Arial" w:cs="Arial"/>
          <w:sz w:val="24"/>
          <w:szCs w:val="24"/>
        </w:rPr>
      </w:pPr>
    </w:p>
    <w:p w14:paraId="6CA02906" w14:textId="6C7F56A9" w:rsidR="00DF641D" w:rsidRPr="00500E49" w:rsidRDefault="00DF641D">
      <w:pPr>
        <w:rPr>
          <w:rFonts w:ascii="Arial" w:hAnsi="Arial" w:cs="Arial"/>
          <w:sz w:val="24"/>
          <w:szCs w:val="24"/>
        </w:rPr>
      </w:pPr>
      <w:r w:rsidRPr="00A9516E">
        <w:rPr>
          <w:rFonts w:ascii="Arial" w:hAnsi="Arial" w:cs="Arial"/>
          <w:b/>
          <w:sz w:val="24"/>
          <w:szCs w:val="24"/>
        </w:rPr>
        <w:t>CONCLUSIONS</w:t>
      </w:r>
      <w:r w:rsidR="00ED7A9B" w:rsidRPr="00A9516E">
        <w:rPr>
          <w:rFonts w:ascii="Arial" w:hAnsi="Arial" w:cs="Arial"/>
          <w:b/>
          <w:sz w:val="24"/>
          <w:szCs w:val="24"/>
        </w:rPr>
        <w:br/>
      </w:r>
      <w:r w:rsidRPr="00500E49">
        <w:rPr>
          <w:rFonts w:ascii="Arial" w:hAnsi="Arial" w:cs="Arial"/>
          <w:sz w:val="24"/>
          <w:szCs w:val="24"/>
        </w:rPr>
        <w:t>Electrical resistivity logs in bedded evaporites generally give characteristic curve shapes and values</w:t>
      </w:r>
      <w:r w:rsidR="0075422D">
        <w:rPr>
          <w:rFonts w:ascii="Arial" w:hAnsi="Arial" w:cs="Arial"/>
          <w:sz w:val="24"/>
          <w:szCs w:val="24"/>
        </w:rPr>
        <w:t>,</w:t>
      </w:r>
      <w:r w:rsidRPr="00500E49">
        <w:rPr>
          <w:rFonts w:ascii="Arial" w:hAnsi="Arial" w:cs="Arial"/>
          <w:sz w:val="24"/>
          <w:szCs w:val="24"/>
        </w:rPr>
        <w:t xml:space="preserve"> </w:t>
      </w:r>
      <w:r w:rsidR="0075422D">
        <w:rPr>
          <w:rFonts w:ascii="Arial" w:hAnsi="Arial" w:cs="Arial"/>
          <w:sz w:val="24"/>
          <w:szCs w:val="24"/>
        </w:rPr>
        <w:t>d</w:t>
      </w:r>
      <w:r w:rsidRPr="00500E49">
        <w:rPr>
          <w:rFonts w:ascii="Arial" w:hAnsi="Arial" w:cs="Arial"/>
          <w:sz w:val="24"/>
          <w:szCs w:val="24"/>
        </w:rPr>
        <w:t>epending on the type of measuring system and the geometry of the bed.  From such logs the evaporites can be distinguished from the less resistive sedimentary formations.  However</w:t>
      </w:r>
      <w:r w:rsidR="0075422D">
        <w:rPr>
          <w:rFonts w:ascii="Arial" w:hAnsi="Arial" w:cs="Arial"/>
          <w:sz w:val="24"/>
          <w:szCs w:val="24"/>
        </w:rPr>
        <w:t>,</w:t>
      </w:r>
      <w:r w:rsidRPr="00500E49">
        <w:rPr>
          <w:rFonts w:ascii="Arial" w:hAnsi="Arial" w:cs="Arial"/>
          <w:sz w:val="24"/>
          <w:szCs w:val="24"/>
        </w:rPr>
        <w:t xml:space="preserve"> resistivity curves do not indicate the kind of evaporite present.  Mineral identification is based on knowledge of pertinent logging parameters. When two minerals occur together</w:t>
      </w:r>
      <w:r w:rsidR="0075422D">
        <w:rPr>
          <w:rFonts w:ascii="Arial" w:hAnsi="Arial" w:cs="Arial"/>
          <w:sz w:val="24"/>
          <w:szCs w:val="24"/>
        </w:rPr>
        <w:t>,</w:t>
      </w:r>
      <w:r w:rsidRPr="00500E49">
        <w:rPr>
          <w:rFonts w:ascii="Arial" w:hAnsi="Arial" w:cs="Arial"/>
          <w:sz w:val="24"/>
          <w:szCs w:val="24"/>
        </w:rPr>
        <w:t xml:space="preserve"> their relative abundance can be obtained if two properly</w:t>
      </w:r>
      <w:r w:rsidR="007032A7">
        <w:rPr>
          <w:rFonts w:ascii="Arial" w:hAnsi="Arial" w:cs="Arial"/>
          <w:sz w:val="24"/>
          <w:szCs w:val="24"/>
        </w:rPr>
        <w:t xml:space="preserve"> </w:t>
      </w:r>
      <w:r w:rsidRPr="00500E49">
        <w:rPr>
          <w:rFonts w:ascii="Arial" w:hAnsi="Arial" w:cs="Arial"/>
          <w:sz w:val="24"/>
          <w:szCs w:val="24"/>
        </w:rPr>
        <w:t xml:space="preserve">selected porosity devices are run.  Additional logs are useful for confirmation or when other minerals are expected. The gamma ray gives added information for identifying </w:t>
      </w:r>
      <w:r w:rsidRPr="00500E49">
        <w:rPr>
          <w:rFonts w:ascii="Arial" w:hAnsi="Arial" w:cs="Arial"/>
          <w:sz w:val="24"/>
          <w:szCs w:val="24"/>
        </w:rPr>
        <w:lastRenderedPageBreak/>
        <w:t>potash salts.  When the mineral suite is generally known, logging programs yield quantitative data equivalent to assays of the formations.</w:t>
      </w:r>
    </w:p>
    <w:p w14:paraId="7601DAA3" w14:textId="1364FB19" w:rsidR="00802393" w:rsidRPr="00500E49" w:rsidRDefault="00ED7A9B">
      <w:pPr>
        <w:rPr>
          <w:rFonts w:ascii="Arial" w:hAnsi="Arial" w:cs="Arial"/>
          <w:sz w:val="24"/>
          <w:szCs w:val="24"/>
        </w:rPr>
      </w:pPr>
      <w:r w:rsidRPr="00500E49">
        <w:rPr>
          <w:rFonts w:ascii="Arial" w:hAnsi="Arial" w:cs="Arial"/>
          <w:sz w:val="24"/>
          <w:szCs w:val="24"/>
        </w:rPr>
        <w:br/>
      </w:r>
      <w:r w:rsidR="00DF641D" w:rsidRPr="00A9516E">
        <w:rPr>
          <w:rFonts w:ascii="Arial" w:hAnsi="Arial" w:cs="Arial"/>
          <w:b/>
          <w:sz w:val="24"/>
          <w:szCs w:val="24"/>
        </w:rPr>
        <w:t>ACKNOWLEDGMENTS</w:t>
      </w:r>
      <w:r w:rsidRPr="00A9516E">
        <w:rPr>
          <w:rFonts w:ascii="Arial" w:hAnsi="Arial" w:cs="Arial"/>
          <w:b/>
          <w:sz w:val="24"/>
          <w:szCs w:val="24"/>
        </w:rPr>
        <w:br/>
      </w:r>
      <w:r w:rsidR="00DF641D" w:rsidRPr="00500E49">
        <w:rPr>
          <w:rFonts w:ascii="Arial" w:hAnsi="Arial" w:cs="Arial"/>
          <w:sz w:val="24"/>
          <w:szCs w:val="24"/>
        </w:rPr>
        <w:t>Appreciation is extended to the several companies who furnished logs or other information used in this discussion. Special recognition is due Mr. H. V. W. Donohoo of the Texas Gulf Sulphur Company.</w:t>
      </w:r>
    </w:p>
    <w:p w14:paraId="2DD7253F" w14:textId="41550732" w:rsidR="00802393" w:rsidRPr="00500E49" w:rsidRDefault="00802393">
      <w:pPr>
        <w:rPr>
          <w:rFonts w:ascii="Arial" w:hAnsi="Arial" w:cs="Arial"/>
          <w:sz w:val="24"/>
          <w:szCs w:val="24"/>
        </w:rPr>
      </w:pPr>
    </w:p>
    <w:p w14:paraId="4C9528A1" w14:textId="77777777" w:rsidR="00893C69" w:rsidRPr="00500E49" w:rsidRDefault="00893C69">
      <w:pPr>
        <w:rPr>
          <w:rFonts w:ascii="Arial" w:hAnsi="Arial" w:cs="Arial"/>
          <w:sz w:val="24"/>
          <w:szCs w:val="24"/>
        </w:rPr>
      </w:pPr>
    </w:p>
    <w:p w14:paraId="74AE3964" w14:textId="77777777" w:rsidR="00A95736" w:rsidRPr="00500E49" w:rsidRDefault="00A95736">
      <w:pPr>
        <w:rPr>
          <w:rFonts w:ascii="Arial" w:hAnsi="Arial" w:cs="Arial"/>
          <w:sz w:val="24"/>
          <w:szCs w:val="24"/>
        </w:rPr>
      </w:pPr>
    </w:p>
    <w:p w14:paraId="2485228E" w14:textId="6DDC19E7" w:rsidR="00893C69" w:rsidRPr="00500E49" w:rsidRDefault="00893C69">
      <w:pPr>
        <w:rPr>
          <w:rFonts w:ascii="Arial" w:hAnsi="Arial" w:cs="Arial"/>
          <w:sz w:val="24"/>
          <w:szCs w:val="24"/>
        </w:rPr>
      </w:pPr>
      <w:r w:rsidRPr="00A9516E">
        <w:rPr>
          <w:rFonts w:ascii="Arial" w:hAnsi="Arial" w:cs="Arial"/>
          <w:b/>
          <w:sz w:val="24"/>
          <w:szCs w:val="24"/>
        </w:rPr>
        <w:t>REFERENCES</w:t>
      </w:r>
      <w:r w:rsidR="00ED7A9B" w:rsidRPr="00A9516E">
        <w:rPr>
          <w:rFonts w:ascii="Arial" w:hAnsi="Arial" w:cs="Arial"/>
          <w:b/>
          <w:sz w:val="24"/>
          <w:szCs w:val="24"/>
        </w:rPr>
        <w:br/>
      </w:r>
      <w:r w:rsidRPr="00500E49">
        <w:rPr>
          <w:rFonts w:ascii="Arial" w:hAnsi="Arial" w:cs="Arial"/>
          <w:sz w:val="24"/>
          <w:szCs w:val="24"/>
        </w:rPr>
        <w:t xml:space="preserve">Kokesh, F. P., Schwartz. R.J., Wall, W. B., and Morris, R. L., 1965, "A New Approach to Sonic Logging and Other Acoustic Measurements": Journal of Petroleum Technology. vol. 27. no. 3. p. 282. </w:t>
      </w:r>
    </w:p>
    <w:p w14:paraId="5219A21F" w14:textId="5C275BCE" w:rsidR="00893C69" w:rsidRPr="00500E49" w:rsidRDefault="00893C69">
      <w:pPr>
        <w:rPr>
          <w:rFonts w:ascii="Arial" w:hAnsi="Arial" w:cs="Arial"/>
          <w:sz w:val="24"/>
          <w:szCs w:val="24"/>
        </w:rPr>
      </w:pPr>
      <w:r w:rsidRPr="00500E49">
        <w:rPr>
          <w:rFonts w:ascii="Arial" w:hAnsi="Arial" w:cs="Arial"/>
          <w:sz w:val="24"/>
          <w:szCs w:val="24"/>
        </w:rPr>
        <w:t>Landes, K. K . 1962. "Origin of Salt Deposits": Symposium on Salt, Northern Ohio Geological Society, p. 8.</w:t>
      </w:r>
    </w:p>
    <w:p w14:paraId="14371E04" w14:textId="77777777" w:rsidR="00893C69" w:rsidRPr="00500E49" w:rsidRDefault="00893C69">
      <w:pPr>
        <w:rPr>
          <w:rFonts w:ascii="Arial" w:hAnsi="Arial" w:cs="Arial"/>
          <w:sz w:val="24"/>
          <w:szCs w:val="24"/>
        </w:rPr>
      </w:pPr>
      <w:r w:rsidRPr="00500E49">
        <w:rPr>
          <w:rFonts w:ascii="Arial" w:hAnsi="Arial" w:cs="Arial"/>
          <w:sz w:val="24"/>
          <w:szCs w:val="24"/>
        </w:rPr>
        <w:t xml:space="preserve">Raymer, L. L., and Biggs, W. P., 1963, "Matrix Characteristics Defined by Porosity Computations": in Transactions of Soc. of Prof. Well Log Analysts Meeting, 1963, p. X-12 to X-20. </w:t>
      </w:r>
    </w:p>
    <w:p w14:paraId="5363D2CD" w14:textId="77777777" w:rsidR="00893C69" w:rsidRPr="00500E49" w:rsidRDefault="00893C69">
      <w:pPr>
        <w:rPr>
          <w:rFonts w:ascii="Arial" w:hAnsi="Arial" w:cs="Arial"/>
          <w:sz w:val="24"/>
          <w:szCs w:val="24"/>
        </w:rPr>
      </w:pPr>
      <w:proofErr w:type="spellStart"/>
      <w:r w:rsidRPr="00500E49">
        <w:rPr>
          <w:rFonts w:ascii="Arial" w:hAnsi="Arial" w:cs="Arial"/>
          <w:sz w:val="24"/>
          <w:szCs w:val="24"/>
        </w:rPr>
        <w:t>Savre</w:t>
      </w:r>
      <w:proofErr w:type="spellEnd"/>
      <w:r w:rsidRPr="00500E49">
        <w:rPr>
          <w:rFonts w:ascii="Arial" w:hAnsi="Arial" w:cs="Arial"/>
          <w:sz w:val="24"/>
          <w:szCs w:val="24"/>
        </w:rPr>
        <w:t xml:space="preserve">, W. C., 1963. "Determination of a More Accurate Porosity and Matrix Composition in Complex Lithologies with the Use of the Sonic, Neutron. and Density Surveys": Journal of Petroleum Technology. vol. 15. no. 9. p. 945. </w:t>
      </w:r>
    </w:p>
    <w:p w14:paraId="4C2FBFAB" w14:textId="77777777" w:rsidR="0087485C" w:rsidRPr="00500E49" w:rsidRDefault="00893C69">
      <w:pPr>
        <w:rPr>
          <w:rFonts w:ascii="Arial" w:hAnsi="Arial" w:cs="Arial"/>
          <w:sz w:val="24"/>
          <w:szCs w:val="24"/>
        </w:rPr>
      </w:pPr>
      <w:r w:rsidRPr="00500E49">
        <w:rPr>
          <w:rFonts w:ascii="Arial" w:hAnsi="Arial" w:cs="Arial"/>
          <w:sz w:val="24"/>
          <w:szCs w:val="24"/>
        </w:rPr>
        <w:t xml:space="preserve">Schlumberger Well Surveying Corporation. 1955. "Resistivity Departure Curves -- Document 7": Schlumberger Well Surveying Corporation. p. 19. </w:t>
      </w:r>
    </w:p>
    <w:p w14:paraId="37B1EAD8" w14:textId="77777777" w:rsidR="0087485C" w:rsidRPr="00500E49" w:rsidRDefault="00893C69">
      <w:pPr>
        <w:rPr>
          <w:rFonts w:ascii="Arial" w:hAnsi="Arial" w:cs="Arial"/>
          <w:sz w:val="24"/>
          <w:szCs w:val="24"/>
        </w:rPr>
      </w:pPr>
      <w:proofErr w:type="spellStart"/>
      <w:r w:rsidRPr="00500E49">
        <w:rPr>
          <w:rFonts w:ascii="Arial" w:hAnsi="Arial" w:cs="Arial"/>
          <w:sz w:val="24"/>
          <w:szCs w:val="24"/>
        </w:rPr>
        <w:t>Tittman</w:t>
      </w:r>
      <w:proofErr w:type="spellEnd"/>
      <w:r w:rsidRPr="00500E49">
        <w:rPr>
          <w:rFonts w:ascii="Arial" w:hAnsi="Arial" w:cs="Arial"/>
          <w:sz w:val="24"/>
          <w:szCs w:val="24"/>
        </w:rPr>
        <w:t xml:space="preserve">. J., and Wahl, </w:t>
      </w:r>
      <w:r w:rsidR="0087485C" w:rsidRPr="00500E49">
        <w:rPr>
          <w:rFonts w:ascii="Arial" w:hAnsi="Arial" w:cs="Arial"/>
          <w:sz w:val="24"/>
          <w:szCs w:val="24"/>
        </w:rPr>
        <w:t>J</w:t>
      </w:r>
      <w:r w:rsidRPr="00500E49">
        <w:rPr>
          <w:rFonts w:ascii="Arial" w:hAnsi="Arial" w:cs="Arial"/>
          <w:sz w:val="24"/>
          <w:szCs w:val="24"/>
        </w:rPr>
        <w:t>.S.</w:t>
      </w:r>
      <w:r w:rsidR="0087485C" w:rsidRPr="00500E49">
        <w:rPr>
          <w:rFonts w:ascii="Arial" w:hAnsi="Arial" w:cs="Arial"/>
          <w:sz w:val="24"/>
          <w:szCs w:val="24"/>
        </w:rPr>
        <w:t xml:space="preserve">, </w:t>
      </w:r>
      <w:r w:rsidRPr="00500E49">
        <w:rPr>
          <w:rFonts w:ascii="Arial" w:hAnsi="Arial" w:cs="Arial"/>
          <w:sz w:val="24"/>
          <w:szCs w:val="24"/>
        </w:rPr>
        <w:t xml:space="preserve">1965. "The Physical Foundations of Formation Density Logging (gamma-gamma)": Geophysics. vol. 30. no. 2. pp. 284-294. </w:t>
      </w:r>
    </w:p>
    <w:p w14:paraId="45C4FC7D" w14:textId="422F1FE0" w:rsidR="00893C69" w:rsidRPr="00500E49" w:rsidRDefault="00893C69">
      <w:pPr>
        <w:rPr>
          <w:rFonts w:ascii="Arial" w:hAnsi="Arial" w:cs="Arial"/>
          <w:sz w:val="24"/>
          <w:szCs w:val="24"/>
        </w:rPr>
      </w:pPr>
      <w:r w:rsidRPr="00500E49">
        <w:rPr>
          <w:rFonts w:ascii="Arial" w:hAnsi="Arial" w:cs="Arial"/>
          <w:sz w:val="24"/>
          <w:szCs w:val="24"/>
        </w:rPr>
        <w:t>Tixier. M. P.</w:t>
      </w:r>
      <w:r w:rsidR="0087485C" w:rsidRPr="00500E49">
        <w:rPr>
          <w:rFonts w:ascii="Arial" w:hAnsi="Arial" w:cs="Arial"/>
          <w:sz w:val="24"/>
          <w:szCs w:val="24"/>
        </w:rPr>
        <w:t>,</w:t>
      </w:r>
      <w:r w:rsidRPr="00500E49">
        <w:rPr>
          <w:rFonts w:ascii="Arial" w:hAnsi="Arial" w:cs="Arial"/>
          <w:sz w:val="24"/>
          <w:szCs w:val="24"/>
        </w:rPr>
        <w:t xml:space="preserve"> 1951, "Porosity Index in Limestone from Electrical Logs": Oil and Gas Journal, vol. 50. no. 28. p. 140 and vol. </w:t>
      </w:r>
      <w:r w:rsidR="0087485C" w:rsidRPr="00500E49">
        <w:rPr>
          <w:rFonts w:ascii="Arial" w:hAnsi="Arial" w:cs="Arial"/>
          <w:sz w:val="24"/>
          <w:szCs w:val="24"/>
        </w:rPr>
        <w:t>50,</w:t>
      </w:r>
      <w:r w:rsidRPr="00500E49">
        <w:rPr>
          <w:rFonts w:ascii="Arial" w:hAnsi="Arial" w:cs="Arial"/>
          <w:sz w:val="24"/>
          <w:szCs w:val="24"/>
        </w:rPr>
        <w:t xml:space="preserve"> no. 29. </w:t>
      </w:r>
      <w:r w:rsidR="0087485C" w:rsidRPr="00500E49">
        <w:rPr>
          <w:rFonts w:ascii="Arial" w:hAnsi="Arial" w:cs="Arial"/>
          <w:sz w:val="24"/>
          <w:szCs w:val="24"/>
        </w:rPr>
        <w:t>p.</w:t>
      </w:r>
      <w:r w:rsidRPr="00500E49">
        <w:rPr>
          <w:rFonts w:ascii="Arial" w:hAnsi="Arial" w:cs="Arial"/>
          <w:sz w:val="24"/>
          <w:szCs w:val="24"/>
        </w:rPr>
        <w:t xml:space="preserve"> 53. </w:t>
      </w:r>
    </w:p>
    <w:p w14:paraId="69A3BA3A" w14:textId="6567EDDB" w:rsidR="0048324B" w:rsidRPr="00936B18" w:rsidRDefault="00893C69">
      <w:pPr>
        <w:rPr>
          <w:rFonts w:ascii="Arial" w:hAnsi="Arial" w:cs="Arial"/>
          <w:sz w:val="24"/>
          <w:szCs w:val="24"/>
        </w:rPr>
      </w:pPr>
      <w:r w:rsidRPr="00936B18">
        <w:rPr>
          <w:rFonts w:ascii="Arial" w:hAnsi="Arial" w:cs="Arial"/>
          <w:sz w:val="24"/>
          <w:szCs w:val="24"/>
        </w:rPr>
        <w:t xml:space="preserve">Wahl, J. S., </w:t>
      </w:r>
      <w:proofErr w:type="spellStart"/>
      <w:r w:rsidRPr="00936B18">
        <w:rPr>
          <w:rFonts w:ascii="Arial" w:hAnsi="Arial" w:cs="Arial"/>
          <w:sz w:val="24"/>
          <w:szCs w:val="24"/>
        </w:rPr>
        <w:t>Ti</w:t>
      </w:r>
      <w:r w:rsidR="0079521E">
        <w:rPr>
          <w:rFonts w:ascii="Arial" w:hAnsi="Arial" w:cs="Arial"/>
          <w:sz w:val="24"/>
          <w:szCs w:val="24"/>
        </w:rPr>
        <w:t>tt</w:t>
      </w:r>
      <w:r w:rsidRPr="00936B18">
        <w:rPr>
          <w:rFonts w:ascii="Arial" w:hAnsi="Arial" w:cs="Arial"/>
          <w:sz w:val="24"/>
          <w:szCs w:val="24"/>
        </w:rPr>
        <w:t>man</w:t>
      </w:r>
      <w:proofErr w:type="spellEnd"/>
      <w:r w:rsidRPr="00936B18">
        <w:rPr>
          <w:rFonts w:ascii="Arial" w:hAnsi="Arial" w:cs="Arial"/>
          <w:sz w:val="24"/>
          <w:szCs w:val="24"/>
        </w:rPr>
        <w:t>, J., Johnstone, C. W., and Alger. R. P.</w:t>
      </w:r>
      <w:r w:rsidR="0087485C" w:rsidRPr="00936B18">
        <w:rPr>
          <w:rFonts w:ascii="Arial" w:hAnsi="Arial" w:cs="Arial"/>
          <w:sz w:val="24"/>
          <w:szCs w:val="24"/>
        </w:rPr>
        <w:t xml:space="preserve">, </w:t>
      </w:r>
      <w:r w:rsidRPr="00936B18">
        <w:rPr>
          <w:rFonts w:ascii="Arial" w:hAnsi="Arial" w:cs="Arial"/>
          <w:sz w:val="24"/>
          <w:szCs w:val="24"/>
        </w:rPr>
        <w:t>1964, "The Dual</w:t>
      </w:r>
      <w:r w:rsidRPr="00500E49">
        <w:rPr>
          <w:rFonts w:ascii="Arial" w:hAnsi="Arial" w:cs="Arial"/>
          <w:b/>
          <w:sz w:val="24"/>
          <w:szCs w:val="24"/>
        </w:rPr>
        <w:t xml:space="preserve"> </w:t>
      </w:r>
      <w:r w:rsidRPr="00936B18">
        <w:rPr>
          <w:rFonts w:ascii="Arial" w:hAnsi="Arial" w:cs="Arial"/>
          <w:sz w:val="24"/>
          <w:szCs w:val="24"/>
        </w:rPr>
        <w:t>Spacing Formation Density Log": Journal of Petroleum Technology. vol. 16. no. 12. p. 1411.</w:t>
      </w:r>
      <w:r w:rsidR="00A95736" w:rsidRPr="00936B18">
        <w:rPr>
          <w:rFonts w:ascii="Arial" w:hAnsi="Arial" w:cs="Arial"/>
          <w:sz w:val="24"/>
          <w:szCs w:val="24"/>
        </w:rPr>
        <w:br/>
      </w:r>
      <w:r w:rsidR="00A95736" w:rsidRPr="00936B18">
        <w:rPr>
          <w:rFonts w:ascii="Arial" w:hAnsi="Arial" w:cs="Arial"/>
          <w:sz w:val="24"/>
          <w:szCs w:val="24"/>
        </w:rPr>
        <w:br/>
      </w:r>
      <w:r w:rsidR="00A95736" w:rsidRPr="00936B18">
        <w:rPr>
          <w:rFonts w:ascii="Arial" w:hAnsi="Arial" w:cs="Arial"/>
          <w:bCs/>
          <w:sz w:val="24"/>
          <w:szCs w:val="24"/>
        </w:rPr>
        <w:t>Crain, E. R. and Anderson, W. B.</w:t>
      </w:r>
      <w:r w:rsidR="004D7A61" w:rsidRPr="00936B18">
        <w:rPr>
          <w:rFonts w:ascii="Arial" w:hAnsi="Arial" w:cs="Arial"/>
          <w:bCs/>
          <w:sz w:val="24"/>
          <w:szCs w:val="24"/>
        </w:rPr>
        <w:t>, 1966,</w:t>
      </w:r>
      <w:r w:rsidR="00A95736" w:rsidRPr="00936B18">
        <w:rPr>
          <w:rFonts w:ascii="Arial" w:hAnsi="Arial" w:cs="Arial"/>
          <w:bCs/>
          <w:sz w:val="24"/>
          <w:szCs w:val="24"/>
        </w:rPr>
        <w:t xml:space="preserve"> “Quantitative Log Evaluation of the Prairie Evaporite Formation in Saskatchewan,“ Jour. Canadian Pet. Tech. (July-Sept., 1966).</w:t>
      </w:r>
    </w:p>
    <w:sectPr w:rsidR="0048324B" w:rsidRPr="00936B18" w:rsidSect="004766E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FBB60" w14:textId="77777777" w:rsidR="00A11C41" w:rsidRDefault="00A11C41" w:rsidP="00C76BB9">
      <w:pPr>
        <w:spacing w:after="0" w:line="240" w:lineRule="auto"/>
      </w:pPr>
      <w:r>
        <w:separator/>
      </w:r>
    </w:p>
  </w:endnote>
  <w:endnote w:type="continuationSeparator" w:id="0">
    <w:p w14:paraId="4CAA25A1" w14:textId="77777777" w:rsidR="00A11C41" w:rsidRDefault="00A11C41" w:rsidP="00C76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dobe Devanagari">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8B5D1" w14:textId="77777777" w:rsidR="00A11C41" w:rsidRDefault="00A11C41" w:rsidP="00C76BB9">
      <w:pPr>
        <w:spacing w:after="0" w:line="240" w:lineRule="auto"/>
      </w:pPr>
      <w:r>
        <w:separator/>
      </w:r>
    </w:p>
  </w:footnote>
  <w:footnote w:type="continuationSeparator" w:id="0">
    <w:p w14:paraId="2A35AB87" w14:textId="77777777" w:rsidR="00A11C41" w:rsidRDefault="00A11C41" w:rsidP="00C76B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508A4"/>
    <w:multiLevelType w:val="hybridMultilevel"/>
    <w:tmpl w:val="24AEA580"/>
    <w:lvl w:ilvl="0" w:tplc="B62680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8334E2"/>
    <w:multiLevelType w:val="hybridMultilevel"/>
    <w:tmpl w:val="F92A5DE8"/>
    <w:lvl w:ilvl="0" w:tplc="770206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23963"/>
    <w:multiLevelType w:val="hybridMultilevel"/>
    <w:tmpl w:val="86B07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96B15"/>
    <w:multiLevelType w:val="hybridMultilevel"/>
    <w:tmpl w:val="E7426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2C160A"/>
    <w:multiLevelType w:val="hybridMultilevel"/>
    <w:tmpl w:val="561E16DC"/>
    <w:lvl w:ilvl="0" w:tplc="770206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25BFE"/>
    <w:multiLevelType w:val="hybridMultilevel"/>
    <w:tmpl w:val="C87E105A"/>
    <w:lvl w:ilvl="0" w:tplc="576656D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1A3444E"/>
    <w:multiLevelType w:val="hybridMultilevel"/>
    <w:tmpl w:val="3056DFF8"/>
    <w:lvl w:ilvl="0" w:tplc="CDF23122">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EF15BB"/>
    <w:multiLevelType w:val="hybridMultilevel"/>
    <w:tmpl w:val="2AA69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5E7BD1"/>
    <w:multiLevelType w:val="hybridMultilevel"/>
    <w:tmpl w:val="76307058"/>
    <w:lvl w:ilvl="0" w:tplc="322C0F4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2A0D6157"/>
    <w:multiLevelType w:val="hybridMultilevel"/>
    <w:tmpl w:val="B34E3B6A"/>
    <w:lvl w:ilvl="0" w:tplc="C12C6A18">
      <w:start w:val="100"/>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CE74313"/>
    <w:multiLevelType w:val="hybridMultilevel"/>
    <w:tmpl w:val="C1EC217C"/>
    <w:lvl w:ilvl="0" w:tplc="CFC420B2">
      <w:start w:val="1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7E2E8B"/>
    <w:multiLevelType w:val="hybridMultilevel"/>
    <w:tmpl w:val="30C0B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E11684"/>
    <w:multiLevelType w:val="hybridMultilevel"/>
    <w:tmpl w:val="CA7CB2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D0477"/>
    <w:multiLevelType w:val="hybridMultilevel"/>
    <w:tmpl w:val="A0B0052E"/>
    <w:lvl w:ilvl="0" w:tplc="770206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03290F"/>
    <w:multiLevelType w:val="hybridMultilevel"/>
    <w:tmpl w:val="E01C2C6A"/>
    <w:lvl w:ilvl="0" w:tplc="770206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1F541C"/>
    <w:multiLevelType w:val="hybridMultilevel"/>
    <w:tmpl w:val="293C5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3B2B37"/>
    <w:multiLevelType w:val="hybridMultilevel"/>
    <w:tmpl w:val="B2E698CA"/>
    <w:lvl w:ilvl="0" w:tplc="698C760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449F587C"/>
    <w:multiLevelType w:val="hybridMultilevel"/>
    <w:tmpl w:val="359E753C"/>
    <w:lvl w:ilvl="0" w:tplc="8D7EA8F4">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C4F4619"/>
    <w:multiLevelType w:val="hybridMultilevel"/>
    <w:tmpl w:val="DB6AEFB4"/>
    <w:lvl w:ilvl="0" w:tplc="698C760C">
      <w:start w:val="1"/>
      <w:numFmt w:val="decimal"/>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523D23C7"/>
    <w:multiLevelType w:val="hybridMultilevel"/>
    <w:tmpl w:val="F3B87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8448B4"/>
    <w:multiLevelType w:val="hybridMultilevel"/>
    <w:tmpl w:val="82F0C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AF19A4"/>
    <w:multiLevelType w:val="hybridMultilevel"/>
    <w:tmpl w:val="656C5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BE4604"/>
    <w:multiLevelType w:val="hybridMultilevel"/>
    <w:tmpl w:val="B89A6D7E"/>
    <w:lvl w:ilvl="0" w:tplc="190ADC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EB13F4"/>
    <w:multiLevelType w:val="hybridMultilevel"/>
    <w:tmpl w:val="EC062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6079D5"/>
    <w:multiLevelType w:val="hybridMultilevel"/>
    <w:tmpl w:val="D92AA270"/>
    <w:lvl w:ilvl="0" w:tplc="698C76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1A6887"/>
    <w:multiLevelType w:val="hybridMultilevel"/>
    <w:tmpl w:val="73449964"/>
    <w:lvl w:ilvl="0" w:tplc="B0C62D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9EF45F9"/>
    <w:multiLevelType w:val="hybridMultilevel"/>
    <w:tmpl w:val="34BED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84011F"/>
    <w:multiLevelType w:val="hybridMultilevel"/>
    <w:tmpl w:val="9EA23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332868"/>
    <w:multiLevelType w:val="hybridMultilevel"/>
    <w:tmpl w:val="CFF81DAE"/>
    <w:lvl w:ilvl="0" w:tplc="698C760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CBB1909"/>
    <w:multiLevelType w:val="hybridMultilevel"/>
    <w:tmpl w:val="90C41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032690"/>
    <w:multiLevelType w:val="hybridMultilevel"/>
    <w:tmpl w:val="03F62E26"/>
    <w:lvl w:ilvl="0" w:tplc="6E5C4100">
      <w:start w:val="1"/>
      <w:numFmt w:val="decimal"/>
      <w:lvlText w:val="%1."/>
      <w:lvlJc w:val="left"/>
      <w:pPr>
        <w:ind w:left="720" w:hanging="360"/>
      </w:pPr>
      <w:rPr>
        <w:rFonts w:hint="default"/>
        <w:color w:val="03030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7B07ED"/>
    <w:multiLevelType w:val="hybridMultilevel"/>
    <w:tmpl w:val="E11C8078"/>
    <w:lvl w:ilvl="0" w:tplc="544A0F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42331D6"/>
    <w:multiLevelType w:val="hybridMultilevel"/>
    <w:tmpl w:val="28A83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B03C4D"/>
    <w:multiLevelType w:val="hybridMultilevel"/>
    <w:tmpl w:val="32844CD0"/>
    <w:lvl w:ilvl="0" w:tplc="698C760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795609782">
    <w:abstractNumId w:val="8"/>
  </w:num>
  <w:num w:numId="2" w16cid:durableId="1749568675">
    <w:abstractNumId w:val="33"/>
  </w:num>
  <w:num w:numId="3" w16cid:durableId="84616066">
    <w:abstractNumId w:val="5"/>
  </w:num>
  <w:num w:numId="4" w16cid:durableId="863594824">
    <w:abstractNumId w:val="18"/>
  </w:num>
  <w:num w:numId="5" w16cid:durableId="2110463221">
    <w:abstractNumId w:val="28"/>
  </w:num>
  <w:num w:numId="6" w16cid:durableId="665943222">
    <w:abstractNumId w:val="16"/>
  </w:num>
  <w:num w:numId="7" w16cid:durableId="1427574214">
    <w:abstractNumId w:val="24"/>
  </w:num>
  <w:num w:numId="8" w16cid:durableId="299841813">
    <w:abstractNumId w:val="4"/>
  </w:num>
  <w:num w:numId="9" w16cid:durableId="1835098566">
    <w:abstractNumId w:val="13"/>
  </w:num>
  <w:num w:numId="10" w16cid:durableId="1685329269">
    <w:abstractNumId w:val="1"/>
  </w:num>
  <w:num w:numId="11" w16cid:durableId="1423338037">
    <w:abstractNumId w:val="14"/>
  </w:num>
  <w:num w:numId="12" w16cid:durableId="407192538">
    <w:abstractNumId w:val="19"/>
  </w:num>
  <w:num w:numId="13" w16cid:durableId="1829784239">
    <w:abstractNumId w:val="17"/>
  </w:num>
  <w:num w:numId="14" w16cid:durableId="722871095">
    <w:abstractNumId w:val="30"/>
  </w:num>
  <w:num w:numId="15" w16cid:durableId="1979142998">
    <w:abstractNumId w:val="15"/>
  </w:num>
  <w:num w:numId="16" w16cid:durableId="1783570022">
    <w:abstractNumId w:val="21"/>
  </w:num>
  <w:num w:numId="17" w16cid:durableId="712507970">
    <w:abstractNumId w:val="29"/>
  </w:num>
  <w:num w:numId="18" w16cid:durableId="405222431">
    <w:abstractNumId w:val="10"/>
  </w:num>
  <w:num w:numId="19" w16cid:durableId="1423842409">
    <w:abstractNumId w:val="26"/>
  </w:num>
  <w:num w:numId="20" w16cid:durableId="1731687456">
    <w:abstractNumId w:val="12"/>
  </w:num>
  <w:num w:numId="21" w16cid:durableId="1985768669">
    <w:abstractNumId w:val="11"/>
  </w:num>
  <w:num w:numId="22" w16cid:durableId="77676607">
    <w:abstractNumId w:val="2"/>
  </w:num>
  <w:num w:numId="23" w16cid:durableId="1284262764">
    <w:abstractNumId w:val="3"/>
  </w:num>
  <w:num w:numId="24" w16cid:durableId="988751934">
    <w:abstractNumId w:val="0"/>
  </w:num>
  <w:num w:numId="25" w16cid:durableId="712458205">
    <w:abstractNumId w:val="31"/>
  </w:num>
  <w:num w:numId="26" w16cid:durableId="1129008112">
    <w:abstractNumId w:val="25"/>
  </w:num>
  <w:num w:numId="27" w16cid:durableId="2123574409">
    <w:abstractNumId w:val="7"/>
  </w:num>
  <w:num w:numId="28" w16cid:durableId="724178534">
    <w:abstractNumId w:val="22"/>
  </w:num>
  <w:num w:numId="29" w16cid:durableId="309288487">
    <w:abstractNumId w:val="9"/>
  </w:num>
  <w:num w:numId="30" w16cid:durableId="1516771595">
    <w:abstractNumId w:val="6"/>
  </w:num>
  <w:num w:numId="31" w16cid:durableId="1132675222">
    <w:abstractNumId w:val="20"/>
  </w:num>
  <w:num w:numId="32" w16cid:durableId="15158864">
    <w:abstractNumId w:val="23"/>
  </w:num>
  <w:num w:numId="33" w16cid:durableId="259029268">
    <w:abstractNumId w:val="27"/>
  </w:num>
  <w:num w:numId="34" w16cid:durableId="10665655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ocumentProtection w:edit="readOnly" w:enforcement="1" w:cryptProviderType="rsaAES" w:cryptAlgorithmClass="hash" w:cryptAlgorithmType="typeAny" w:cryptAlgorithmSid="14" w:cryptSpinCount="100000" w:hash="D3o5Z3P3O936WPR8SqSOCdLmG7HisHrxCj3eA0vSJmy0ctdZjKqtqvO5PJZvFip1WUkVyVq4UDZI+Ul7LloDVA==" w:salt="XOsE0JBX28JrFzkqEqLA/Q=="/>
  <w:defaultTabStop w:val="720"/>
  <w:drawingGridHorizontalSpacing w:val="187"/>
  <w:drawingGridVerticalSpacing w:val="187"/>
  <w:displayHorizontalDrawingGridEvery w:val="1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6F5D"/>
    <w:rsid w:val="00000CF1"/>
    <w:rsid w:val="00006C74"/>
    <w:rsid w:val="00011916"/>
    <w:rsid w:val="000222A6"/>
    <w:rsid w:val="0002300C"/>
    <w:rsid w:val="000324BD"/>
    <w:rsid w:val="000355F0"/>
    <w:rsid w:val="0004384E"/>
    <w:rsid w:val="0005221D"/>
    <w:rsid w:val="00052637"/>
    <w:rsid w:val="00053447"/>
    <w:rsid w:val="00066F5D"/>
    <w:rsid w:val="0007668D"/>
    <w:rsid w:val="000842B9"/>
    <w:rsid w:val="000877A6"/>
    <w:rsid w:val="00091B01"/>
    <w:rsid w:val="000929B2"/>
    <w:rsid w:val="000A7D85"/>
    <w:rsid w:val="000B2A6E"/>
    <w:rsid w:val="000B56AA"/>
    <w:rsid w:val="000C06C0"/>
    <w:rsid w:val="000C3ACA"/>
    <w:rsid w:val="000D20E4"/>
    <w:rsid w:val="000D63BB"/>
    <w:rsid w:val="000D68A2"/>
    <w:rsid w:val="000E2228"/>
    <w:rsid w:val="000E2258"/>
    <w:rsid w:val="000E295C"/>
    <w:rsid w:val="000F30B7"/>
    <w:rsid w:val="000F6CF5"/>
    <w:rsid w:val="000F71FE"/>
    <w:rsid w:val="001065A5"/>
    <w:rsid w:val="00111454"/>
    <w:rsid w:val="0011494E"/>
    <w:rsid w:val="00121137"/>
    <w:rsid w:val="00125AF1"/>
    <w:rsid w:val="0013331E"/>
    <w:rsid w:val="00140324"/>
    <w:rsid w:val="00146549"/>
    <w:rsid w:val="00146EB3"/>
    <w:rsid w:val="00155D88"/>
    <w:rsid w:val="001569A7"/>
    <w:rsid w:val="00161B4D"/>
    <w:rsid w:val="001627A9"/>
    <w:rsid w:val="001656FC"/>
    <w:rsid w:val="0017009B"/>
    <w:rsid w:val="00174DCB"/>
    <w:rsid w:val="001761FF"/>
    <w:rsid w:val="0019354B"/>
    <w:rsid w:val="001A1D96"/>
    <w:rsid w:val="001B2824"/>
    <w:rsid w:val="001B3A3F"/>
    <w:rsid w:val="001B50CA"/>
    <w:rsid w:val="001B670D"/>
    <w:rsid w:val="001D1534"/>
    <w:rsid w:val="001D22E4"/>
    <w:rsid w:val="001F7B3F"/>
    <w:rsid w:val="00200E4C"/>
    <w:rsid w:val="00203514"/>
    <w:rsid w:val="0020437B"/>
    <w:rsid w:val="00204BD7"/>
    <w:rsid w:val="002071B2"/>
    <w:rsid w:val="00215F41"/>
    <w:rsid w:val="00220393"/>
    <w:rsid w:val="00222808"/>
    <w:rsid w:val="00223BA6"/>
    <w:rsid w:val="00224235"/>
    <w:rsid w:val="002302A6"/>
    <w:rsid w:val="00245B0A"/>
    <w:rsid w:val="00250385"/>
    <w:rsid w:val="00270474"/>
    <w:rsid w:val="00276A85"/>
    <w:rsid w:val="002774F5"/>
    <w:rsid w:val="00290EC6"/>
    <w:rsid w:val="002912FB"/>
    <w:rsid w:val="002A584F"/>
    <w:rsid w:val="002B32A2"/>
    <w:rsid w:val="002B35C2"/>
    <w:rsid w:val="002B6016"/>
    <w:rsid w:val="002D4CC9"/>
    <w:rsid w:val="002E08C9"/>
    <w:rsid w:val="002E0988"/>
    <w:rsid w:val="002E652F"/>
    <w:rsid w:val="002F00DC"/>
    <w:rsid w:val="002F18AF"/>
    <w:rsid w:val="002F5984"/>
    <w:rsid w:val="00301870"/>
    <w:rsid w:val="00313B3F"/>
    <w:rsid w:val="00316983"/>
    <w:rsid w:val="003217A6"/>
    <w:rsid w:val="0034458B"/>
    <w:rsid w:val="00353BB3"/>
    <w:rsid w:val="00354A5E"/>
    <w:rsid w:val="00357A0F"/>
    <w:rsid w:val="00383E80"/>
    <w:rsid w:val="00384EDB"/>
    <w:rsid w:val="003922E7"/>
    <w:rsid w:val="003928E2"/>
    <w:rsid w:val="0039577B"/>
    <w:rsid w:val="00395B8E"/>
    <w:rsid w:val="0039610A"/>
    <w:rsid w:val="003A0211"/>
    <w:rsid w:val="003C27A0"/>
    <w:rsid w:val="003D25B6"/>
    <w:rsid w:val="003D444D"/>
    <w:rsid w:val="003D4D31"/>
    <w:rsid w:val="003F12D6"/>
    <w:rsid w:val="003F200E"/>
    <w:rsid w:val="004036A2"/>
    <w:rsid w:val="0040641D"/>
    <w:rsid w:val="00417D24"/>
    <w:rsid w:val="004253F3"/>
    <w:rsid w:val="00436C5F"/>
    <w:rsid w:val="004502B0"/>
    <w:rsid w:val="004620FF"/>
    <w:rsid w:val="004662B9"/>
    <w:rsid w:val="0047252A"/>
    <w:rsid w:val="00476024"/>
    <w:rsid w:val="004766EB"/>
    <w:rsid w:val="0048324B"/>
    <w:rsid w:val="00483EC6"/>
    <w:rsid w:val="004849BA"/>
    <w:rsid w:val="004921B0"/>
    <w:rsid w:val="004973F6"/>
    <w:rsid w:val="004D12B3"/>
    <w:rsid w:val="004D29FE"/>
    <w:rsid w:val="004D4556"/>
    <w:rsid w:val="004D6B98"/>
    <w:rsid w:val="004D7A61"/>
    <w:rsid w:val="004F05E5"/>
    <w:rsid w:val="004F593F"/>
    <w:rsid w:val="00500E49"/>
    <w:rsid w:val="00502636"/>
    <w:rsid w:val="00502B62"/>
    <w:rsid w:val="00503214"/>
    <w:rsid w:val="005147C9"/>
    <w:rsid w:val="00534001"/>
    <w:rsid w:val="00537C87"/>
    <w:rsid w:val="00557DB9"/>
    <w:rsid w:val="0056171D"/>
    <w:rsid w:val="00564C63"/>
    <w:rsid w:val="0056554D"/>
    <w:rsid w:val="00565AFE"/>
    <w:rsid w:val="00566522"/>
    <w:rsid w:val="0056751B"/>
    <w:rsid w:val="005710D9"/>
    <w:rsid w:val="00571AAF"/>
    <w:rsid w:val="00572612"/>
    <w:rsid w:val="00576388"/>
    <w:rsid w:val="005904E2"/>
    <w:rsid w:val="005909C7"/>
    <w:rsid w:val="005A0D11"/>
    <w:rsid w:val="005A493A"/>
    <w:rsid w:val="005A4DB2"/>
    <w:rsid w:val="005B021F"/>
    <w:rsid w:val="005B1BB4"/>
    <w:rsid w:val="005B5C54"/>
    <w:rsid w:val="005B5F5A"/>
    <w:rsid w:val="005C04E7"/>
    <w:rsid w:val="005C13AC"/>
    <w:rsid w:val="005C50C8"/>
    <w:rsid w:val="005D6174"/>
    <w:rsid w:val="005D79AB"/>
    <w:rsid w:val="005D7C8D"/>
    <w:rsid w:val="005E2309"/>
    <w:rsid w:val="005F1546"/>
    <w:rsid w:val="005F47AD"/>
    <w:rsid w:val="005F7A89"/>
    <w:rsid w:val="00605DA6"/>
    <w:rsid w:val="00607D81"/>
    <w:rsid w:val="00613279"/>
    <w:rsid w:val="006138AD"/>
    <w:rsid w:val="00613939"/>
    <w:rsid w:val="006216BE"/>
    <w:rsid w:val="00623817"/>
    <w:rsid w:val="006243B1"/>
    <w:rsid w:val="00624D59"/>
    <w:rsid w:val="0063002D"/>
    <w:rsid w:val="006321FA"/>
    <w:rsid w:val="00633D55"/>
    <w:rsid w:val="00645B3C"/>
    <w:rsid w:val="00657592"/>
    <w:rsid w:val="006603CA"/>
    <w:rsid w:val="006656EA"/>
    <w:rsid w:val="00667959"/>
    <w:rsid w:val="00672205"/>
    <w:rsid w:val="0067754C"/>
    <w:rsid w:val="00677A1B"/>
    <w:rsid w:val="006A2CEC"/>
    <w:rsid w:val="006B5681"/>
    <w:rsid w:val="006D3BB5"/>
    <w:rsid w:val="006D7669"/>
    <w:rsid w:val="006E28F9"/>
    <w:rsid w:val="006E698C"/>
    <w:rsid w:val="006F0474"/>
    <w:rsid w:val="006F214E"/>
    <w:rsid w:val="006F2B26"/>
    <w:rsid w:val="006F68CD"/>
    <w:rsid w:val="007032A7"/>
    <w:rsid w:val="00703EDF"/>
    <w:rsid w:val="007041C3"/>
    <w:rsid w:val="00707F6E"/>
    <w:rsid w:val="00720AC1"/>
    <w:rsid w:val="0072132D"/>
    <w:rsid w:val="00722BD8"/>
    <w:rsid w:val="0073000E"/>
    <w:rsid w:val="0073385E"/>
    <w:rsid w:val="007355A2"/>
    <w:rsid w:val="00736FC4"/>
    <w:rsid w:val="0074033F"/>
    <w:rsid w:val="00751440"/>
    <w:rsid w:val="0075422D"/>
    <w:rsid w:val="00757254"/>
    <w:rsid w:val="00762612"/>
    <w:rsid w:val="00771A0F"/>
    <w:rsid w:val="0077474E"/>
    <w:rsid w:val="00794D58"/>
    <w:rsid w:val="007950DF"/>
    <w:rsid w:val="0079521E"/>
    <w:rsid w:val="0079596D"/>
    <w:rsid w:val="007A1EE7"/>
    <w:rsid w:val="007A6832"/>
    <w:rsid w:val="007B6CF4"/>
    <w:rsid w:val="007C0C89"/>
    <w:rsid w:val="007C4D6A"/>
    <w:rsid w:val="007D62B4"/>
    <w:rsid w:val="007E4EA3"/>
    <w:rsid w:val="007E748F"/>
    <w:rsid w:val="007F0F7D"/>
    <w:rsid w:val="00802393"/>
    <w:rsid w:val="008134BE"/>
    <w:rsid w:val="008307A3"/>
    <w:rsid w:val="00831465"/>
    <w:rsid w:val="00835A5A"/>
    <w:rsid w:val="008404C7"/>
    <w:rsid w:val="00840703"/>
    <w:rsid w:val="0084151E"/>
    <w:rsid w:val="00844CF3"/>
    <w:rsid w:val="0085511E"/>
    <w:rsid w:val="00865814"/>
    <w:rsid w:val="00866356"/>
    <w:rsid w:val="00873025"/>
    <w:rsid w:val="0087485C"/>
    <w:rsid w:val="00876689"/>
    <w:rsid w:val="00886E45"/>
    <w:rsid w:val="008908AD"/>
    <w:rsid w:val="00891494"/>
    <w:rsid w:val="00893C69"/>
    <w:rsid w:val="00896F04"/>
    <w:rsid w:val="008A2E21"/>
    <w:rsid w:val="008A77E5"/>
    <w:rsid w:val="008B3AE5"/>
    <w:rsid w:val="008B3F00"/>
    <w:rsid w:val="008C5F30"/>
    <w:rsid w:val="008D2DBD"/>
    <w:rsid w:val="008E09F3"/>
    <w:rsid w:val="008E2D4F"/>
    <w:rsid w:val="008E2F94"/>
    <w:rsid w:val="00900182"/>
    <w:rsid w:val="00913615"/>
    <w:rsid w:val="00914257"/>
    <w:rsid w:val="00921F1B"/>
    <w:rsid w:val="0092313F"/>
    <w:rsid w:val="00925E9A"/>
    <w:rsid w:val="009278E7"/>
    <w:rsid w:val="009321C0"/>
    <w:rsid w:val="00935862"/>
    <w:rsid w:val="00936B18"/>
    <w:rsid w:val="00954A3E"/>
    <w:rsid w:val="00976BA5"/>
    <w:rsid w:val="00977E65"/>
    <w:rsid w:val="00980244"/>
    <w:rsid w:val="009A30E2"/>
    <w:rsid w:val="009A33BC"/>
    <w:rsid w:val="009B5697"/>
    <w:rsid w:val="009B5F67"/>
    <w:rsid w:val="009B7C5A"/>
    <w:rsid w:val="009C6834"/>
    <w:rsid w:val="009C76BD"/>
    <w:rsid w:val="009D77FC"/>
    <w:rsid w:val="009E7EAC"/>
    <w:rsid w:val="009F2445"/>
    <w:rsid w:val="009F3539"/>
    <w:rsid w:val="00A015C1"/>
    <w:rsid w:val="00A02D06"/>
    <w:rsid w:val="00A05C82"/>
    <w:rsid w:val="00A11C41"/>
    <w:rsid w:val="00A22528"/>
    <w:rsid w:val="00A23289"/>
    <w:rsid w:val="00A3177F"/>
    <w:rsid w:val="00A47BBF"/>
    <w:rsid w:val="00A54F23"/>
    <w:rsid w:val="00A601D1"/>
    <w:rsid w:val="00A622F2"/>
    <w:rsid w:val="00A658D0"/>
    <w:rsid w:val="00A7045B"/>
    <w:rsid w:val="00A7765D"/>
    <w:rsid w:val="00A835B9"/>
    <w:rsid w:val="00A9516E"/>
    <w:rsid w:val="00A956E6"/>
    <w:rsid w:val="00A95736"/>
    <w:rsid w:val="00A95E1B"/>
    <w:rsid w:val="00A96303"/>
    <w:rsid w:val="00AA0780"/>
    <w:rsid w:val="00AA633C"/>
    <w:rsid w:val="00AB5911"/>
    <w:rsid w:val="00AB66F3"/>
    <w:rsid w:val="00AC32D6"/>
    <w:rsid w:val="00AD7D42"/>
    <w:rsid w:val="00AE0CE4"/>
    <w:rsid w:val="00AE0EA6"/>
    <w:rsid w:val="00AE1079"/>
    <w:rsid w:val="00AF13A2"/>
    <w:rsid w:val="00B026B7"/>
    <w:rsid w:val="00B1216C"/>
    <w:rsid w:val="00B1440C"/>
    <w:rsid w:val="00B20303"/>
    <w:rsid w:val="00B23A6D"/>
    <w:rsid w:val="00B2401C"/>
    <w:rsid w:val="00B27910"/>
    <w:rsid w:val="00B4775E"/>
    <w:rsid w:val="00B52882"/>
    <w:rsid w:val="00B92161"/>
    <w:rsid w:val="00B973D3"/>
    <w:rsid w:val="00BA1DC5"/>
    <w:rsid w:val="00BA5153"/>
    <w:rsid w:val="00BB474A"/>
    <w:rsid w:val="00BB774F"/>
    <w:rsid w:val="00BB78FC"/>
    <w:rsid w:val="00BC4348"/>
    <w:rsid w:val="00BE503C"/>
    <w:rsid w:val="00BF17DD"/>
    <w:rsid w:val="00BF50BF"/>
    <w:rsid w:val="00BF6AFC"/>
    <w:rsid w:val="00C03E23"/>
    <w:rsid w:val="00C0792C"/>
    <w:rsid w:val="00C141C7"/>
    <w:rsid w:val="00C266A2"/>
    <w:rsid w:val="00C2688A"/>
    <w:rsid w:val="00C318F2"/>
    <w:rsid w:val="00C31E81"/>
    <w:rsid w:val="00C32B58"/>
    <w:rsid w:val="00C42D76"/>
    <w:rsid w:val="00C47B87"/>
    <w:rsid w:val="00C70A7E"/>
    <w:rsid w:val="00C76BB9"/>
    <w:rsid w:val="00C83ADF"/>
    <w:rsid w:val="00C845EE"/>
    <w:rsid w:val="00C849A6"/>
    <w:rsid w:val="00C9119C"/>
    <w:rsid w:val="00C94EBF"/>
    <w:rsid w:val="00CA0A64"/>
    <w:rsid w:val="00CB5534"/>
    <w:rsid w:val="00CD072D"/>
    <w:rsid w:val="00CD61EE"/>
    <w:rsid w:val="00CD788E"/>
    <w:rsid w:val="00CE1724"/>
    <w:rsid w:val="00CE28F1"/>
    <w:rsid w:val="00CF50EC"/>
    <w:rsid w:val="00CF7650"/>
    <w:rsid w:val="00D05768"/>
    <w:rsid w:val="00D2618C"/>
    <w:rsid w:val="00D27B02"/>
    <w:rsid w:val="00D31224"/>
    <w:rsid w:val="00D32148"/>
    <w:rsid w:val="00D36DBB"/>
    <w:rsid w:val="00D40DE3"/>
    <w:rsid w:val="00D44E8F"/>
    <w:rsid w:val="00D466A5"/>
    <w:rsid w:val="00D75A47"/>
    <w:rsid w:val="00D967B3"/>
    <w:rsid w:val="00DA2DE9"/>
    <w:rsid w:val="00DA36F6"/>
    <w:rsid w:val="00DB7178"/>
    <w:rsid w:val="00DC2C31"/>
    <w:rsid w:val="00DC4ADE"/>
    <w:rsid w:val="00DC4B54"/>
    <w:rsid w:val="00DD010F"/>
    <w:rsid w:val="00DD28D0"/>
    <w:rsid w:val="00DD2AD1"/>
    <w:rsid w:val="00DD7FD2"/>
    <w:rsid w:val="00DE0015"/>
    <w:rsid w:val="00DE46E3"/>
    <w:rsid w:val="00DE509B"/>
    <w:rsid w:val="00DE65AE"/>
    <w:rsid w:val="00DE660B"/>
    <w:rsid w:val="00DE7BA8"/>
    <w:rsid w:val="00DF161E"/>
    <w:rsid w:val="00DF43E6"/>
    <w:rsid w:val="00DF5237"/>
    <w:rsid w:val="00DF641D"/>
    <w:rsid w:val="00E00CA6"/>
    <w:rsid w:val="00E03F67"/>
    <w:rsid w:val="00E04F0B"/>
    <w:rsid w:val="00E07FEE"/>
    <w:rsid w:val="00E31B9E"/>
    <w:rsid w:val="00E337D2"/>
    <w:rsid w:val="00E37F1D"/>
    <w:rsid w:val="00E442CC"/>
    <w:rsid w:val="00E4445A"/>
    <w:rsid w:val="00E51B90"/>
    <w:rsid w:val="00E6495C"/>
    <w:rsid w:val="00E80611"/>
    <w:rsid w:val="00E81A13"/>
    <w:rsid w:val="00E8755C"/>
    <w:rsid w:val="00E87706"/>
    <w:rsid w:val="00E94323"/>
    <w:rsid w:val="00E94DD9"/>
    <w:rsid w:val="00EA0C27"/>
    <w:rsid w:val="00EA2449"/>
    <w:rsid w:val="00EA6844"/>
    <w:rsid w:val="00EA6BB2"/>
    <w:rsid w:val="00EC7CD1"/>
    <w:rsid w:val="00ED24DC"/>
    <w:rsid w:val="00ED455D"/>
    <w:rsid w:val="00ED7A9B"/>
    <w:rsid w:val="00EF24A3"/>
    <w:rsid w:val="00EF6853"/>
    <w:rsid w:val="00F02A13"/>
    <w:rsid w:val="00F02BA6"/>
    <w:rsid w:val="00F04196"/>
    <w:rsid w:val="00F1410E"/>
    <w:rsid w:val="00F1577E"/>
    <w:rsid w:val="00F162D1"/>
    <w:rsid w:val="00F21556"/>
    <w:rsid w:val="00F24CB5"/>
    <w:rsid w:val="00F35D2A"/>
    <w:rsid w:val="00F41728"/>
    <w:rsid w:val="00F46F54"/>
    <w:rsid w:val="00F56F9F"/>
    <w:rsid w:val="00F745BD"/>
    <w:rsid w:val="00F8073C"/>
    <w:rsid w:val="00F863A7"/>
    <w:rsid w:val="00F92965"/>
    <w:rsid w:val="00FA0A4A"/>
    <w:rsid w:val="00FB15C1"/>
    <w:rsid w:val="00FB3D7A"/>
    <w:rsid w:val="00FB6D87"/>
    <w:rsid w:val="00FC3058"/>
    <w:rsid w:val="00FC5747"/>
    <w:rsid w:val="00FE1904"/>
    <w:rsid w:val="00FE5313"/>
    <w:rsid w:val="00FE6E06"/>
    <w:rsid w:val="00FF56A3"/>
    <w:rsid w:val="00FF6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2E828"/>
  <w15:docId w15:val="{E8B63357-4866-45DC-84B0-B45AB3111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66F5D"/>
    <w:pPr>
      <w:widowControl w:val="0"/>
      <w:autoSpaceDE w:val="0"/>
      <w:autoSpaceDN w:val="0"/>
      <w:spacing w:after="0" w:line="240" w:lineRule="auto"/>
    </w:pPr>
    <w:rPr>
      <w:rFonts w:ascii="Courier New" w:eastAsia="Courier New" w:hAnsi="Courier New" w:cs="Courier New"/>
      <w:sz w:val="20"/>
      <w:szCs w:val="20"/>
    </w:rPr>
  </w:style>
  <w:style w:type="character" w:customStyle="1" w:styleId="BodyTextChar">
    <w:name w:val="Body Text Char"/>
    <w:basedOn w:val="DefaultParagraphFont"/>
    <w:link w:val="BodyText"/>
    <w:uiPriority w:val="1"/>
    <w:rsid w:val="00066F5D"/>
    <w:rPr>
      <w:rFonts w:ascii="Courier New" w:eastAsia="Courier New" w:hAnsi="Courier New" w:cs="Courier New"/>
      <w:sz w:val="20"/>
      <w:szCs w:val="20"/>
    </w:rPr>
  </w:style>
  <w:style w:type="table" w:styleId="TableGrid">
    <w:name w:val="Table Grid"/>
    <w:basedOn w:val="TableNormal"/>
    <w:uiPriority w:val="39"/>
    <w:rsid w:val="00066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BBF"/>
    <w:pPr>
      <w:ind w:left="720"/>
      <w:contextualSpacing/>
    </w:pPr>
  </w:style>
  <w:style w:type="paragraph" w:styleId="Header">
    <w:name w:val="header"/>
    <w:basedOn w:val="Normal"/>
    <w:link w:val="HeaderChar"/>
    <w:uiPriority w:val="99"/>
    <w:unhideWhenUsed/>
    <w:rsid w:val="00C76B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BB9"/>
  </w:style>
  <w:style w:type="paragraph" w:styleId="Footer">
    <w:name w:val="footer"/>
    <w:basedOn w:val="Normal"/>
    <w:link w:val="FooterChar"/>
    <w:uiPriority w:val="99"/>
    <w:unhideWhenUsed/>
    <w:rsid w:val="00C76B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BB9"/>
  </w:style>
  <w:style w:type="character" w:styleId="CommentReference">
    <w:name w:val="annotation reference"/>
    <w:basedOn w:val="DefaultParagraphFont"/>
    <w:uiPriority w:val="99"/>
    <w:semiHidden/>
    <w:unhideWhenUsed/>
    <w:rsid w:val="000E2228"/>
    <w:rPr>
      <w:sz w:val="16"/>
      <w:szCs w:val="16"/>
    </w:rPr>
  </w:style>
  <w:style w:type="paragraph" w:styleId="CommentText">
    <w:name w:val="annotation text"/>
    <w:basedOn w:val="Normal"/>
    <w:link w:val="CommentTextChar"/>
    <w:uiPriority w:val="99"/>
    <w:semiHidden/>
    <w:unhideWhenUsed/>
    <w:rsid w:val="000E2228"/>
    <w:pPr>
      <w:spacing w:line="240" w:lineRule="auto"/>
    </w:pPr>
    <w:rPr>
      <w:sz w:val="20"/>
      <w:szCs w:val="20"/>
    </w:rPr>
  </w:style>
  <w:style w:type="character" w:customStyle="1" w:styleId="CommentTextChar">
    <w:name w:val="Comment Text Char"/>
    <w:basedOn w:val="DefaultParagraphFont"/>
    <w:link w:val="CommentText"/>
    <w:uiPriority w:val="99"/>
    <w:semiHidden/>
    <w:rsid w:val="000E2228"/>
    <w:rPr>
      <w:sz w:val="20"/>
      <w:szCs w:val="20"/>
    </w:rPr>
  </w:style>
  <w:style w:type="paragraph" w:styleId="CommentSubject">
    <w:name w:val="annotation subject"/>
    <w:basedOn w:val="CommentText"/>
    <w:next w:val="CommentText"/>
    <w:link w:val="CommentSubjectChar"/>
    <w:uiPriority w:val="99"/>
    <w:semiHidden/>
    <w:unhideWhenUsed/>
    <w:rsid w:val="000E2228"/>
    <w:rPr>
      <w:b/>
      <w:bCs/>
    </w:rPr>
  </w:style>
  <w:style w:type="character" w:customStyle="1" w:styleId="CommentSubjectChar">
    <w:name w:val="Comment Subject Char"/>
    <w:basedOn w:val="CommentTextChar"/>
    <w:link w:val="CommentSubject"/>
    <w:uiPriority w:val="99"/>
    <w:semiHidden/>
    <w:rsid w:val="000E2228"/>
    <w:rPr>
      <w:b/>
      <w:bCs/>
      <w:sz w:val="20"/>
      <w:szCs w:val="20"/>
    </w:rPr>
  </w:style>
  <w:style w:type="paragraph" w:styleId="BalloonText">
    <w:name w:val="Balloon Text"/>
    <w:basedOn w:val="Normal"/>
    <w:link w:val="BalloonTextChar"/>
    <w:uiPriority w:val="99"/>
    <w:semiHidden/>
    <w:unhideWhenUsed/>
    <w:rsid w:val="000E2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228"/>
    <w:rPr>
      <w:rFonts w:ascii="Segoe UI" w:hAnsi="Segoe UI" w:cs="Segoe UI"/>
      <w:sz w:val="18"/>
      <w:szCs w:val="18"/>
    </w:rPr>
  </w:style>
  <w:style w:type="character" w:styleId="Hyperlink">
    <w:name w:val="Hyperlink"/>
    <w:basedOn w:val="DefaultParagraphFont"/>
    <w:uiPriority w:val="99"/>
    <w:unhideWhenUsed/>
    <w:rsid w:val="00B1216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ustomXml" Target="ink/ink3.xml"/><Relationship Id="rId39" Type="http://schemas.openxmlformats.org/officeDocument/2006/relationships/theme" Target="theme/theme1.xml"/><Relationship Id="rId21" Type="http://schemas.openxmlformats.org/officeDocument/2006/relationships/customXml" Target="ink/ink2.xm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ustomXml" Target="ink/ink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18.png"/><Relationship Id="rId37"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customXml" Target="ink/ink5.xml"/><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customXml" Target="ink/ink4.xml"/><Relationship Id="rId30" Type="http://schemas.openxmlformats.org/officeDocument/2006/relationships/customXml" Target="ink/ink7.xml"/><Relationship Id="rId35" Type="http://schemas.openxmlformats.org/officeDocument/2006/relationships/image" Target="media/image21.png"/><Relationship Id="rId8" Type="http://schemas.openxmlformats.org/officeDocument/2006/relationships/customXml" Target="ink/ink1.xml"/><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55.78152" units="1/cm"/>
          <inkml:channelProperty channel="Y" name="resolution" value="55.78513" units="1/cm"/>
        </inkml:channelProperties>
      </inkml:inkSource>
      <inkml:timestamp xml:id="ts0" timeString="2021-02-19T17:05:49.795"/>
    </inkml:context>
    <inkml:brush xml:id="br0">
      <inkml:brushProperty name="width" value="0.08333" units="cm"/>
      <inkml:brushProperty name="height" value="0.08333" units="cm"/>
      <inkml:brushProperty name="fitToCurve" value="1"/>
    </inkml:brush>
  </inkml:definitions>
  <inkml:trace contextRef="#ctx0" brushRef="#br0">0 0,'0'0,"0"0,0 0,0 0,0 0,0 0,0 0,0 0,0 0,0 0,0 0,0 0,0 0,0 0,0 0,0 0,0 0,0 0,0 0,0 0,0 0,0 0,0 0,0 0,0 0,0 0,0 0,0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55.78152" units="1/cm"/>
          <inkml:channelProperty channel="Y" name="resolution" value="55.78513" units="1/cm"/>
        </inkml:channelProperties>
      </inkml:inkSource>
      <inkml:timestamp xml:id="ts0" timeString="2021-02-17T02:37:21.253"/>
    </inkml:context>
    <inkml:brush xml:id="br0">
      <inkml:brushProperty name="width" value="0.08333" units="cm"/>
      <inkml:brushProperty name="height" value="0.08333" units="cm"/>
      <inkml:brushProperty name="fitToCurve" value="1"/>
    </inkml:brush>
  </inkml:definitions>
  <inkml:trace contextRef="#ctx0" brushRef="#br0">0 0,'0'0,"0"0,0 0,0 0,0 0,0 0,0 0,0 0,0 0,0 0,0 0,0 0,0 0,0 0,0 0,0 0,0 0,0 0,0 0,0 0,0 0,0 0,0 0,0 0,0 0,0 0,0 0,0 0,0 0,0 0,0 0,0 0,0 0,0 0,0 0,0 0,0 0,0 0,0 0,0 0,0 0,0 0,0 0,0 0,0 0,0 0,0 0,0 0,0 0,0 0,0 0</inkml:trace>
</inkml:ink>
</file>

<file path=word/ink/ink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2-04-01T21:43:32.131"/>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2-04-01T21:43:25.389"/>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55.78152" units="1/cm"/>
          <inkml:channelProperty channel="Y" name="resolution" value="55.78513" units="1/cm"/>
        </inkml:channelProperties>
      </inkml:inkSource>
      <inkml:timestamp xml:id="ts0" timeString="2022-04-01T21:41:41.978"/>
    </inkml:context>
    <inkml:brush xml:id="br0">
      <inkml:brushProperty name="width" value="0.08333" units="cm"/>
      <inkml:brushProperty name="height" value="0.08333" units="cm"/>
      <inkml:brushProperty name="fitToCurve" value="1"/>
    </inkml:brush>
  </inkml:definitions>
  <inkml:trace contextRef="#ctx0" brushRef="#br0">0 0,'0'0,"0"0,0 0,0 0,0 0,0 0,0 0,0 0,0 0,0 0,0 0,0 0,0 0,0 0,0 0,0 0</inkml:trace>
</inkml:ink>
</file>

<file path=word/ink/ink6.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55.78152" units="1/cm"/>
          <inkml:channelProperty channel="Y" name="resolution" value="55.78513" units="1/cm"/>
        </inkml:channelProperties>
      </inkml:inkSource>
      <inkml:timestamp xml:id="ts0" timeString="2022-04-01T21:41:33.232"/>
    </inkml:context>
    <inkml:brush xml:id="br0">
      <inkml:brushProperty name="width" value="0.08333" units="cm"/>
      <inkml:brushProperty name="height" value="0.08333" units="cm"/>
      <inkml:brushProperty name="fitToCurve" value="1"/>
    </inkml:brush>
  </inkml:definitions>
  <inkml:trace contextRef="#ctx0" brushRef="#br0">0 0,'0'0,"0"0,0 0,0 0,0 0,0 0,0 0,0 0,0 0,0 0,0 0,0 0,0 0,0 0,0 0,0 0,0 0,0 0,0 0,0 0,0 0,0 0</inkml:trace>
</inkml:ink>
</file>

<file path=word/ink/ink7.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55.78152" units="1/cm"/>
          <inkml:channelProperty channel="Y" name="resolution" value="55.78513" units="1/cm"/>
        </inkml:channelProperties>
      </inkml:inkSource>
      <inkml:timestamp xml:id="ts0" timeString="2022-04-01T21:41:25.254"/>
    </inkml:context>
    <inkml:brush xml:id="br0">
      <inkml:brushProperty name="width" value="0.08333" units="cm"/>
      <inkml:brushProperty name="height" value="0.08333" units="cm"/>
      <inkml:brushProperty name="fitToCurve" value="1"/>
    </inkml:brush>
  </inkml:definitions>
  <inkml:trace contextRef="#ctx0" brushRef="#br0">0 0,'0'0,"0"0,0 0,0 0,0 0,0 0,0 0,0 0,0 0,0 0,0 0,0 0,0 0,0 0,0 0,0 0,0 0,0 0,0 0,0 0,0 0,0 0,0 0,0 0,0 0,0 0,0 0,0 0,0 0,0 0,0 0,0 0,0 0,0 0,0 0,0 0,0 0,0 0,0 0,0 0,0 0,0 0,0 0,0 0,0 0,0 0,0 0,0 15,0-15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AF23E-F6CF-4993-A604-3554D6D10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22</Pages>
  <Words>3631</Words>
  <Characters>20700</Characters>
  <Application>Microsoft Office Word</Application>
  <DocSecurity>8</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Alberta Health Services</Company>
  <LinksUpToDate>false</LinksUpToDate>
  <CharactersWithSpaces>24283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McEwing</dc:creator>
  <cp:keywords/>
  <dc:description/>
  <cp:lastModifiedBy>sandra bleue</cp:lastModifiedBy>
  <cp:revision>20</cp:revision>
  <dcterms:created xsi:type="dcterms:W3CDTF">2022-03-10T23:29:00Z</dcterms:created>
  <dcterms:modified xsi:type="dcterms:W3CDTF">2022-12-28T20:52:00Z</dcterms:modified>
</cp:coreProperties>
</file>